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84"/>
      </w:tblGrid>
      <w:tr w:rsidR="00296E72" w:rsidRPr="00652EE3"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Název životní situace</w:t>
            </w:r>
          </w:p>
        </w:tc>
      </w:tr>
      <w:tr w:rsidR="00296E72" w:rsidRPr="00652EE3">
        <w:tc>
          <w:tcPr>
            <w:tcW w:w="9186" w:type="dxa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b/>
                <w:bCs/>
                <w:sz w:val="22"/>
                <w:szCs w:val="22"/>
              </w:rPr>
              <w:t>VOLBA DRUHÉHO JMÉNA</w:t>
            </w:r>
          </w:p>
        </w:tc>
      </w:tr>
      <w:tr w:rsidR="00296E72" w:rsidRPr="00652EE3"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Základní informace k životní situaci</w:t>
            </w:r>
          </w:p>
        </w:tc>
      </w:tr>
      <w:tr w:rsidR="00296E72" w:rsidRPr="00652EE3" w:rsidTr="00E15C80">
        <w:trPr>
          <w:trHeight w:val="8391"/>
        </w:trPr>
        <w:tc>
          <w:tcPr>
            <w:tcW w:w="9186" w:type="dxa"/>
            <w:vAlign w:val="center"/>
          </w:tcPr>
          <w:p w:rsidR="00296E72" w:rsidRPr="00652EE3" w:rsidRDefault="00296E72">
            <w:pPr>
              <w:pStyle w:val="Nadpis1"/>
              <w:rPr>
                <w:rFonts w:ascii="Times New Roman" w:hAnsi="Times New Roman" w:cs="Times New Roman"/>
                <w:b/>
                <w:bCs/>
                <w:u w:val="none"/>
              </w:rPr>
            </w:pPr>
            <w:r w:rsidRPr="00652EE3">
              <w:rPr>
                <w:rFonts w:ascii="Times New Roman" w:hAnsi="Times New Roman" w:cs="Times New Roman"/>
                <w:b/>
                <w:bCs/>
                <w:u w:val="none"/>
              </w:rPr>
              <w:t>Osoby narozené do 31.12.1949</w:t>
            </w:r>
          </w:p>
          <w:p w:rsidR="00D812CF" w:rsidRPr="00652EE3" w:rsidRDefault="00296E72">
            <w:pPr>
              <w:pStyle w:val="Zkladntext"/>
              <w:rPr>
                <w:rFonts w:ascii="Times New Roman" w:hAnsi="Times New Roman" w:cs="Times New Roman"/>
              </w:rPr>
            </w:pPr>
            <w:r w:rsidRPr="00652EE3">
              <w:rPr>
                <w:rFonts w:ascii="Times New Roman" w:hAnsi="Times New Roman" w:cs="Times New Roman"/>
              </w:rPr>
              <w:t>V matričních knihách vedených do 31.12.1949 bylo možno zapsat fyzické osobě více jmen. Pokud jsou v matriční knize zapsána dvě nebo více jmen a tato jsou uvedena i na rodném listu vydaném do 31.12.1949, platí v úředním styku pouze jméno uvedené na prvním místě nebo jméno jinak označené za hlavní</w:t>
            </w:r>
            <w:r w:rsidR="00D812CF" w:rsidRPr="00652EE3">
              <w:rPr>
                <w:rFonts w:ascii="Times New Roman" w:hAnsi="Times New Roman" w:cs="Times New Roman"/>
              </w:rPr>
              <w:t xml:space="preserve">. </w:t>
            </w:r>
          </w:p>
          <w:p w:rsidR="00296E72" w:rsidRPr="00652EE3" w:rsidRDefault="00D812CF">
            <w:pPr>
              <w:pStyle w:val="Zkladntext"/>
              <w:rPr>
                <w:rFonts w:ascii="Times New Roman" w:hAnsi="Times New Roman" w:cs="Times New Roman"/>
              </w:rPr>
            </w:pPr>
            <w:r w:rsidRPr="00652EE3">
              <w:rPr>
                <w:rFonts w:ascii="Times New Roman" w:hAnsi="Times New Roman" w:cs="Times New Roman"/>
              </w:rPr>
              <w:t>O</w:t>
            </w:r>
            <w:r w:rsidR="00296E72" w:rsidRPr="00652EE3">
              <w:rPr>
                <w:rFonts w:ascii="Times New Roman" w:hAnsi="Times New Roman" w:cs="Times New Roman"/>
              </w:rPr>
              <w:t xml:space="preserve">soba může učinit prohlášení o volbě druhého jména, které však může být zvoleno pouze ze jmen již zapsaných v matriční knize. Užívání těchto dvou jmen bude prokazovat </w:t>
            </w:r>
            <w:r w:rsidRPr="00652EE3">
              <w:rPr>
                <w:rFonts w:ascii="Times New Roman" w:hAnsi="Times New Roman" w:cs="Times New Roman"/>
              </w:rPr>
              <w:t xml:space="preserve">nově vydaným </w:t>
            </w:r>
            <w:r w:rsidR="00296E72" w:rsidRPr="00652EE3">
              <w:rPr>
                <w:rFonts w:ascii="Times New Roman" w:hAnsi="Times New Roman" w:cs="Times New Roman"/>
              </w:rPr>
              <w:t xml:space="preserve">rodným listem. </w:t>
            </w:r>
          </w:p>
          <w:p w:rsidR="00D812CF" w:rsidRPr="00652EE3" w:rsidRDefault="00D812CF">
            <w:pPr>
              <w:jc w:val="both"/>
              <w:rPr>
                <w:sz w:val="22"/>
                <w:szCs w:val="22"/>
              </w:rPr>
            </w:pPr>
            <w:r w:rsidRPr="00652EE3">
              <w:rPr>
                <w:sz w:val="22"/>
                <w:szCs w:val="22"/>
              </w:rPr>
              <w:t xml:space="preserve">Pokud má osoba narozená do </w:t>
            </w:r>
            <w:r w:rsidR="00652EE3" w:rsidRPr="00652EE3">
              <w:rPr>
                <w:sz w:val="22"/>
                <w:szCs w:val="22"/>
              </w:rPr>
              <w:t>31. 12. 1949</w:t>
            </w:r>
            <w:r w:rsidRPr="00652EE3">
              <w:rPr>
                <w:sz w:val="22"/>
                <w:szCs w:val="22"/>
              </w:rPr>
              <w:t xml:space="preserve"> zapsáno v matriční knize pouze jedno jméno, může si prohlášením zvolit jakékoli druhé jméno, které splňuje podmínky pro zápis jména dle § 62 zákona </w:t>
            </w:r>
            <w:r w:rsidR="00BD6039" w:rsidRPr="00652EE3">
              <w:rPr>
                <w:sz w:val="22"/>
                <w:szCs w:val="22"/>
              </w:rPr>
              <w:t>č.</w:t>
            </w:r>
            <w:r w:rsidR="00652EE3">
              <w:rPr>
                <w:sz w:val="22"/>
                <w:szCs w:val="22"/>
              </w:rPr>
              <w:t> </w:t>
            </w:r>
            <w:r w:rsidR="00BD6039" w:rsidRPr="00652EE3">
              <w:rPr>
                <w:sz w:val="22"/>
                <w:szCs w:val="22"/>
              </w:rPr>
              <w:t xml:space="preserve">301/2000 Sb., </w:t>
            </w:r>
            <w:r w:rsidRPr="00652EE3">
              <w:rPr>
                <w:sz w:val="22"/>
                <w:szCs w:val="22"/>
              </w:rPr>
              <w:t>o matrikách</w:t>
            </w:r>
            <w:r w:rsidR="00BD6039" w:rsidRPr="00652EE3">
              <w:rPr>
                <w:sz w:val="22"/>
                <w:szCs w:val="22"/>
              </w:rPr>
              <w:t>, jménu a příjmení a o změně některých souvisejících zákonů, ve znění pozdějších předpisů (dále jen „zákon o matrikách“).</w:t>
            </w:r>
          </w:p>
          <w:p w:rsidR="00D812CF" w:rsidRPr="00652EE3" w:rsidRDefault="00D812CF">
            <w:pPr>
              <w:jc w:val="both"/>
              <w:rPr>
                <w:b/>
                <w:i/>
                <w:noProof/>
                <w:sz w:val="22"/>
                <w:szCs w:val="20"/>
                <w:u w:val="single"/>
              </w:rPr>
            </w:pPr>
            <w:r w:rsidRPr="00652EE3">
              <w:rPr>
                <w:b/>
                <w:i/>
                <w:noProof/>
                <w:sz w:val="22"/>
                <w:szCs w:val="20"/>
                <w:u w:val="single"/>
              </w:rPr>
              <w:t>Poznámka:</w:t>
            </w:r>
          </w:p>
          <w:p w:rsidR="00296E72" w:rsidRPr="00652EE3" w:rsidRDefault="00296E72">
            <w:pPr>
              <w:jc w:val="both"/>
              <w:rPr>
                <w:noProof/>
                <w:sz w:val="22"/>
                <w:szCs w:val="20"/>
              </w:rPr>
            </w:pPr>
            <w:r w:rsidRPr="00652EE3">
              <w:rPr>
                <w:noProof/>
                <w:sz w:val="22"/>
                <w:szCs w:val="20"/>
              </w:rPr>
              <w:t>Křestní list se považuje za veřejnou listinu prokazující narození za předpokladu, že obsahuje údaje uváděné v době jeho vydání v rodném listu a byl vydán do 31. prosince 1949.</w:t>
            </w:r>
          </w:p>
          <w:p w:rsidR="00D812CF" w:rsidRPr="00652EE3" w:rsidRDefault="00D812CF">
            <w:pPr>
              <w:jc w:val="both"/>
              <w:rPr>
                <w:noProof/>
                <w:sz w:val="22"/>
                <w:szCs w:val="20"/>
              </w:rPr>
            </w:pPr>
          </w:p>
          <w:p w:rsidR="00296E72" w:rsidRPr="00652EE3" w:rsidRDefault="00296E72">
            <w:pPr>
              <w:pStyle w:val="Nadpis1"/>
              <w:rPr>
                <w:rFonts w:ascii="Times New Roman" w:hAnsi="Times New Roman" w:cs="Times New Roman"/>
                <w:b/>
                <w:bCs/>
                <w:u w:val="none"/>
              </w:rPr>
            </w:pPr>
            <w:r w:rsidRPr="00652EE3">
              <w:rPr>
                <w:rFonts w:ascii="Times New Roman" w:hAnsi="Times New Roman" w:cs="Times New Roman"/>
                <w:b/>
                <w:bCs/>
                <w:u w:val="none"/>
              </w:rPr>
              <w:t>Osoby narozené od 1.1.1950 do 30.6.2001</w:t>
            </w:r>
          </w:p>
          <w:p w:rsidR="00AB6FA3" w:rsidRPr="00652EE3" w:rsidRDefault="00296E72">
            <w:pPr>
              <w:jc w:val="both"/>
              <w:rPr>
                <w:noProof/>
                <w:sz w:val="22"/>
                <w:szCs w:val="20"/>
              </w:rPr>
            </w:pPr>
            <w:r w:rsidRPr="00652EE3">
              <w:rPr>
                <w:noProof/>
                <w:sz w:val="22"/>
                <w:szCs w:val="20"/>
              </w:rPr>
              <w:t xml:space="preserve">V tomto období bylo možno zapsat fyzické osobě do matriční knihy pouze jedno jméno. </w:t>
            </w:r>
            <w:r w:rsidR="00513CFD" w:rsidRPr="00652EE3">
              <w:rPr>
                <w:noProof/>
                <w:sz w:val="22"/>
                <w:szCs w:val="20"/>
              </w:rPr>
              <w:t>Osoba si</w:t>
            </w:r>
            <w:r w:rsidR="00652EE3">
              <w:rPr>
                <w:noProof/>
                <w:sz w:val="22"/>
                <w:szCs w:val="20"/>
              </w:rPr>
              <w:t> </w:t>
            </w:r>
            <w:r w:rsidR="00513CFD" w:rsidRPr="00652EE3">
              <w:rPr>
                <w:noProof/>
                <w:sz w:val="22"/>
                <w:szCs w:val="20"/>
              </w:rPr>
              <w:t xml:space="preserve">může </w:t>
            </w:r>
            <w:r w:rsidRPr="00652EE3">
              <w:rPr>
                <w:noProof/>
                <w:sz w:val="22"/>
                <w:szCs w:val="20"/>
              </w:rPr>
              <w:t xml:space="preserve">ke stávajícímu jménu </w:t>
            </w:r>
            <w:r w:rsidR="00AB6FA3" w:rsidRPr="00652EE3">
              <w:rPr>
                <w:noProof/>
                <w:sz w:val="22"/>
                <w:szCs w:val="20"/>
              </w:rPr>
              <w:t xml:space="preserve">zvolit prohlášením </w:t>
            </w:r>
            <w:r w:rsidRPr="00652EE3">
              <w:rPr>
                <w:noProof/>
                <w:sz w:val="22"/>
                <w:szCs w:val="20"/>
              </w:rPr>
              <w:t>druhé</w:t>
            </w:r>
            <w:r w:rsidR="00AB6FA3" w:rsidRPr="00652EE3">
              <w:rPr>
                <w:noProof/>
                <w:sz w:val="22"/>
                <w:szCs w:val="20"/>
              </w:rPr>
              <w:t xml:space="preserve"> jméno</w:t>
            </w:r>
            <w:r w:rsidRPr="00652EE3">
              <w:rPr>
                <w:noProof/>
                <w:sz w:val="22"/>
                <w:szCs w:val="20"/>
              </w:rPr>
              <w:t xml:space="preserve"> (ne dvě nová jména)</w:t>
            </w:r>
            <w:r w:rsidR="00AB6FA3" w:rsidRPr="00652EE3">
              <w:rPr>
                <w:noProof/>
                <w:sz w:val="22"/>
                <w:szCs w:val="20"/>
              </w:rPr>
              <w:t>, které splňuje podm</w:t>
            </w:r>
            <w:r w:rsidR="0028605A" w:rsidRPr="00652EE3">
              <w:rPr>
                <w:noProof/>
                <w:sz w:val="22"/>
                <w:szCs w:val="20"/>
              </w:rPr>
              <w:t>í</w:t>
            </w:r>
            <w:r w:rsidR="00AB6FA3" w:rsidRPr="00652EE3">
              <w:rPr>
                <w:noProof/>
                <w:sz w:val="22"/>
                <w:szCs w:val="20"/>
              </w:rPr>
              <w:t>nky pro zápis jména dle § 62 zákona o matrikách</w:t>
            </w:r>
            <w:r w:rsidRPr="00652EE3">
              <w:rPr>
                <w:noProof/>
                <w:sz w:val="22"/>
                <w:szCs w:val="20"/>
              </w:rPr>
              <w:t xml:space="preserve">. </w:t>
            </w:r>
          </w:p>
          <w:p w:rsidR="00296E72" w:rsidRPr="00652EE3" w:rsidRDefault="00296E72">
            <w:pPr>
              <w:jc w:val="both"/>
              <w:rPr>
                <w:noProof/>
                <w:sz w:val="22"/>
                <w:szCs w:val="20"/>
              </w:rPr>
            </w:pPr>
            <w:r w:rsidRPr="00652EE3">
              <w:rPr>
                <w:noProof/>
                <w:sz w:val="22"/>
                <w:szCs w:val="20"/>
              </w:rPr>
              <w:t xml:space="preserve">Za nezletilé </w:t>
            </w:r>
            <w:r w:rsidR="00513CFD" w:rsidRPr="00652EE3">
              <w:rPr>
                <w:noProof/>
                <w:sz w:val="22"/>
                <w:szCs w:val="20"/>
              </w:rPr>
              <w:t xml:space="preserve">dítě </w:t>
            </w:r>
            <w:r w:rsidRPr="00652EE3">
              <w:rPr>
                <w:noProof/>
                <w:sz w:val="22"/>
                <w:szCs w:val="20"/>
              </w:rPr>
              <w:t xml:space="preserve">činí prohlášení zákonní zástupci; u nezletilých </w:t>
            </w:r>
            <w:r w:rsidR="00513CFD" w:rsidRPr="00652EE3">
              <w:rPr>
                <w:noProof/>
                <w:sz w:val="22"/>
                <w:szCs w:val="20"/>
              </w:rPr>
              <w:t xml:space="preserve">dětí </w:t>
            </w:r>
            <w:r w:rsidR="00571383" w:rsidRPr="00652EE3">
              <w:rPr>
                <w:noProof/>
                <w:sz w:val="22"/>
                <w:szCs w:val="20"/>
              </w:rPr>
              <w:t xml:space="preserve">od </w:t>
            </w:r>
            <w:r w:rsidRPr="00652EE3">
              <w:rPr>
                <w:noProof/>
                <w:sz w:val="22"/>
                <w:szCs w:val="20"/>
              </w:rPr>
              <w:t xml:space="preserve">15 let </w:t>
            </w:r>
            <w:r w:rsidR="00571383" w:rsidRPr="00652EE3">
              <w:rPr>
                <w:noProof/>
                <w:sz w:val="22"/>
                <w:szCs w:val="20"/>
              </w:rPr>
              <w:t xml:space="preserve">do 18 let </w:t>
            </w:r>
            <w:r w:rsidRPr="00652EE3">
              <w:rPr>
                <w:noProof/>
                <w:sz w:val="22"/>
                <w:szCs w:val="20"/>
              </w:rPr>
              <w:t xml:space="preserve">je třeba jejich souhlasu </w:t>
            </w:r>
            <w:r w:rsidR="00AB6FA3" w:rsidRPr="00652EE3">
              <w:rPr>
                <w:noProof/>
                <w:sz w:val="22"/>
                <w:szCs w:val="20"/>
              </w:rPr>
              <w:t>(</w:t>
            </w:r>
            <w:r w:rsidRPr="00652EE3">
              <w:rPr>
                <w:noProof/>
                <w:sz w:val="22"/>
                <w:szCs w:val="20"/>
              </w:rPr>
              <w:t xml:space="preserve">bez </w:t>
            </w:r>
            <w:r w:rsidR="00AB6FA3" w:rsidRPr="00652EE3">
              <w:rPr>
                <w:noProof/>
                <w:sz w:val="22"/>
                <w:szCs w:val="20"/>
              </w:rPr>
              <w:t>něho</w:t>
            </w:r>
            <w:r w:rsidRPr="00652EE3">
              <w:rPr>
                <w:noProof/>
                <w:sz w:val="22"/>
                <w:szCs w:val="20"/>
              </w:rPr>
              <w:t xml:space="preserve"> nemůže být druhé jméno zapsáno</w:t>
            </w:r>
            <w:r w:rsidR="00AB6FA3" w:rsidRPr="00652EE3">
              <w:rPr>
                <w:noProof/>
                <w:sz w:val="22"/>
                <w:szCs w:val="20"/>
              </w:rPr>
              <w:t>)</w:t>
            </w:r>
            <w:r w:rsidRPr="00652EE3">
              <w:rPr>
                <w:noProof/>
                <w:sz w:val="22"/>
                <w:szCs w:val="20"/>
              </w:rPr>
              <w:t>.</w:t>
            </w:r>
          </w:p>
          <w:p w:rsidR="00296E72" w:rsidRPr="00652EE3" w:rsidRDefault="00296E72">
            <w:pPr>
              <w:jc w:val="both"/>
              <w:rPr>
                <w:noProof/>
                <w:sz w:val="22"/>
                <w:szCs w:val="20"/>
              </w:rPr>
            </w:pPr>
          </w:p>
          <w:p w:rsidR="00296E72" w:rsidRPr="00652EE3" w:rsidRDefault="00296E72">
            <w:pPr>
              <w:pStyle w:val="Nadpis1"/>
              <w:rPr>
                <w:rFonts w:ascii="Times New Roman" w:hAnsi="Times New Roman" w:cs="Times New Roman"/>
                <w:b/>
                <w:bCs/>
                <w:u w:val="none"/>
              </w:rPr>
            </w:pPr>
            <w:r w:rsidRPr="00652EE3">
              <w:rPr>
                <w:rFonts w:ascii="Times New Roman" w:hAnsi="Times New Roman" w:cs="Times New Roman"/>
                <w:b/>
                <w:bCs/>
                <w:u w:val="none"/>
              </w:rPr>
              <w:t>Osoby narozené od 1.7.2001</w:t>
            </w:r>
          </w:p>
          <w:p w:rsidR="00A34820" w:rsidRPr="00652EE3" w:rsidRDefault="00296E72" w:rsidP="00A34820">
            <w:pPr>
              <w:jc w:val="both"/>
              <w:rPr>
                <w:noProof/>
                <w:sz w:val="22"/>
                <w:szCs w:val="20"/>
              </w:rPr>
            </w:pPr>
            <w:r w:rsidRPr="00652EE3">
              <w:rPr>
                <w:noProof/>
                <w:sz w:val="22"/>
                <w:szCs w:val="20"/>
              </w:rPr>
              <w:t>Po tomto datu je možno zapsat fyzické osobě do matriční knihy dvě jména</w:t>
            </w:r>
            <w:r w:rsidR="00BD6039" w:rsidRPr="00652EE3">
              <w:rPr>
                <w:noProof/>
                <w:sz w:val="22"/>
                <w:szCs w:val="20"/>
              </w:rPr>
              <w:t>, která splňují podmínky pro</w:t>
            </w:r>
            <w:r w:rsidR="00652EE3">
              <w:rPr>
                <w:noProof/>
                <w:sz w:val="22"/>
                <w:szCs w:val="20"/>
              </w:rPr>
              <w:t> </w:t>
            </w:r>
            <w:r w:rsidR="00BD6039" w:rsidRPr="00652EE3">
              <w:rPr>
                <w:noProof/>
                <w:sz w:val="22"/>
                <w:szCs w:val="20"/>
              </w:rPr>
              <w:t>zápis dle § 62 zákona o matrikách.</w:t>
            </w:r>
            <w:r w:rsidR="00A34820" w:rsidRPr="00652EE3">
              <w:rPr>
                <w:noProof/>
                <w:sz w:val="22"/>
                <w:szCs w:val="20"/>
              </w:rPr>
              <w:t xml:space="preserve"> </w:t>
            </w:r>
          </w:p>
          <w:p w:rsidR="00A34820" w:rsidRPr="00652EE3" w:rsidRDefault="00A34820" w:rsidP="00A34820">
            <w:pPr>
              <w:jc w:val="both"/>
              <w:rPr>
                <w:noProof/>
                <w:sz w:val="22"/>
                <w:szCs w:val="20"/>
              </w:rPr>
            </w:pPr>
            <w:r w:rsidRPr="00652EE3">
              <w:rPr>
                <w:noProof/>
                <w:sz w:val="22"/>
                <w:szCs w:val="20"/>
              </w:rPr>
              <w:t>V případě, že má osoba v matriční knize zapsáno pouze jedno jméno, může si k němu prohlášením zvolit druhé jméno (ne dvě nová jména), které splňuje podm</w:t>
            </w:r>
            <w:r w:rsidR="0028605A" w:rsidRPr="00652EE3">
              <w:rPr>
                <w:noProof/>
                <w:sz w:val="22"/>
                <w:szCs w:val="20"/>
              </w:rPr>
              <w:t>í</w:t>
            </w:r>
            <w:r w:rsidRPr="00652EE3">
              <w:rPr>
                <w:noProof/>
                <w:sz w:val="22"/>
                <w:szCs w:val="20"/>
              </w:rPr>
              <w:t>nky pro zápis jména dle § 62 zákona o</w:t>
            </w:r>
            <w:r w:rsidR="00652EE3">
              <w:rPr>
                <w:noProof/>
                <w:sz w:val="22"/>
                <w:szCs w:val="20"/>
              </w:rPr>
              <w:t> </w:t>
            </w:r>
            <w:r w:rsidRPr="00652EE3">
              <w:rPr>
                <w:noProof/>
                <w:sz w:val="22"/>
                <w:szCs w:val="20"/>
              </w:rPr>
              <w:t xml:space="preserve">matrikách. </w:t>
            </w:r>
          </w:p>
          <w:p w:rsidR="00296E72" w:rsidRPr="00652EE3" w:rsidRDefault="00296E72">
            <w:pPr>
              <w:jc w:val="both"/>
              <w:rPr>
                <w:noProof/>
                <w:sz w:val="22"/>
                <w:szCs w:val="20"/>
              </w:rPr>
            </w:pPr>
          </w:p>
          <w:p w:rsidR="00296E72" w:rsidRPr="00652EE3" w:rsidRDefault="00296E72">
            <w:pPr>
              <w:jc w:val="both"/>
              <w:rPr>
                <w:noProof/>
                <w:sz w:val="22"/>
                <w:szCs w:val="20"/>
              </w:rPr>
            </w:pPr>
            <w:r w:rsidRPr="00652EE3">
              <w:rPr>
                <w:noProof/>
                <w:sz w:val="22"/>
                <w:szCs w:val="20"/>
              </w:rPr>
              <w:t>Prohlášení o volbě druhého jména není časově omezeno, nepodléhá správnímu poplatku, lze je učinit pouze jednou a nelze je vzít zpět.</w:t>
            </w:r>
          </w:p>
          <w:p w:rsidR="00296E72" w:rsidRPr="00652EE3" w:rsidRDefault="00296E72">
            <w:pPr>
              <w:jc w:val="both"/>
              <w:rPr>
                <w:noProof/>
                <w:sz w:val="22"/>
                <w:szCs w:val="20"/>
              </w:rPr>
            </w:pPr>
            <w:r w:rsidRPr="00652EE3">
              <w:rPr>
                <w:noProof/>
                <w:sz w:val="22"/>
                <w:szCs w:val="20"/>
              </w:rPr>
              <w:t>Fyzická osoba je oprávněna, ale i povinna užívat jméno, popř</w:t>
            </w:r>
            <w:r w:rsidR="00E15C80" w:rsidRPr="00652EE3">
              <w:rPr>
                <w:noProof/>
                <w:sz w:val="22"/>
                <w:szCs w:val="20"/>
              </w:rPr>
              <w:t>ípadě jména a příjmení, která jsou</w:t>
            </w:r>
            <w:r w:rsidRPr="00652EE3">
              <w:rPr>
                <w:noProof/>
                <w:sz w:val="22"/>
                <w:szCs w:val="20"/>
              </w:rPr>
              <w:t xml:space="preserve"> zapsána v matriční knize. </w:t>
            </w:r>
            <w:r w:rsidR="00E15C80" w:rsidRPr="00652EE3">
              <w:rPr>
                <w:noProof/>
                <w:sz w:val="22"/>
                <w:szCs w:val="20"/>
              </w:rPr>
              <w:t>Při zvolení druhého jména je tedy</w:t>
            </w:r>
            <w:r w:rsidRPr="00652EE3">
              <w:rPr>
                <w:noProof/>
                <w:sz w:val="22"/>
                <w:szCs w:val="20"/>
              </w:rPr>
              <w:t xml:space="preserve"> povinna požádat o vydání nového občanského průkazu, cestovního dokladu, atd., v němž budou uvedena obě jména.</w:t>
            </w:r>
          </w:p>
          <w:p w:rsidR="00296E72" w:rsidRPr="00652EE3" w:rsidRDefault="00296E72">
            <w:pPr>
              <w:jc w:val="both"/>
              <w:rPr>
                <w:noProof/>
                <w:sz w:val="22"/>
                <w:szCs w:val="20"/>
              </w:rPr>
            </w:pPr>
            <w:r w:rsidRPr="00652EE3">
              <w:rPr>
                <w:noProof/>
                <w:sz w:val="22"/>
                <w:szCs w:val="20"/>
              </w:rPr>
              <w:t>Podrobné informace  poskytne osobám kterýkoli matriční úřad.</w:t>
            </w:r>
          </w:p>
          <w:p w:rsidR="00A34820" w:rsidRPr="00652EE3" w:rsidRDefault="00A34820">
            <w:pPr>
              <w:jc w:val="both"/>
              <w:rPr>
                <w:sz w:val="22"/>
                <w:szCs w:val="22"/>
              </w:rPr>
            </w:pPr>
          </w:p>
        </w:tc>
      </w:tr>
      <w:tr w:rsidR="00296E72" w:rsidRPr="00652EE3" w:rsidTr="00E15C80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Kdo je oprávněn v této věci jednat</w:t>
            </w:r>
          </w:p>
        </w:tc>
      </w:tr>
      <w:tr w:rsidR="00296E72" w:rsidRPr="00652EE3" w:rsidTr="00E15C80">
        <w:trPr>
          <w:trHeight w:val="283"/>
        </w:trPr>
        <w:tc>
          <w:tcPr>
            <w:tcW w:w="9186" w:type="dxa"/>
            <w:vAlign w:val="center"/>
          </w:tcPr>
          <w:p w:rsidR="00296E72" w:rsidRPr="00652EE3" w:rsidRDefault="00296E7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52EE3">
              <w:rPr>
                <w:sz w:val="22"/>
                <w:szCs w:val="20"/>
              </w:rPr>
              <w:t>Fyzická osoba, o jejíž jméno se jedná, popřípadě zákonní zástupci nezletilé osoby.</w:t>
            </w:r>
          </w:p>
        </w:tc>
      </w:tr>
      <w:tr w:rsidR="00296E72" w:rsidRPr="00652EE3" w:rsidTr="00E15C80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Jaké jsou podmínky a postup pro řešení životní situace</w:t>
            </w:r>
          </w:p>
        </w:tc>
      </w:tr>
      <w:tr w:rsidR="00296E72" w:rsidRPr="00652EE3" w:rsidTr="00E15C80">
        <w:trPr>
          <w:trHeight w:val="850"/>
        </w:trPr>
        <w:tc>
          <w:tcPr>
            <w:tcW w:w="9186" w:type="dxa"/>
            <w:vAlign w:val="center"/>
          </w:tcPr>
          <w:p w:rsidR="00296E72" w:rsidRPr="00652EE3" w:rsidRDefault="00296E72">
            <w:pPr>
              <w:pStyle w:val="Zkladntext"/>
              <w:rPr>
                <w:rFonts w:ascii="Times New Roman" w:hAnsi="Times New Roman" w:cs="Times New Roman"/>
                <w:noProof w:val="0"/>
              </w:rPr>
            </w:pPr>
            <w:r w:rsidRPr="00652EE3">
              <w:rPr>
                <w:rFonts w:ascii="Times New Roman" w:hAnsi="Times New Roman" w:cs="Times New Roman"/>
                <w:noProof w:val="0"/>
              </w:rPr>
              <w:t>Prohlášení o volbě druhého jména lze učinit na matričním úřadu:</w:t>
            </w:r>
          </w:p>
          <w:p w:rsidR="00296E72" w:rsidRPr="00652EE3" w:rsidRDefault="00296E72">
            <w:pPr>
              <w:numPr>
                <w:ilvl w:val="0"/>
                <w:numId w:val="5"/>
              </w:numPr>
              <w:jc w:val="both"/>
              <w:rPr>
                <w:sz w:val="22"/>
                <w:szCs w:val="20"/>
              </w:rPr>
            </w:pPr>
            <w:r w:rsidRPr="00652EE3">
              <w:rPr>
                <w:sz w:val="22"/>
                <w:szCs w:val="20"/>
              </w:rPr>
              <w:t>podle místa trvalého pobytu osoby</w:t>
            </w:r>
            <w:r w:rsidR="00F417F8" w:rsidRPr="00652EE3">
              <w:rPr>
                <w:sz w:val="22"/>
                <w:szCs w:val="20"/>
              </w:rPr>
              <w:t>,</w:t>
            </w:r>
          </w:p>
          <w:p w:rsidR="00296E72" w:rsidRPr="00652EE3" w:rsidRDefault="00296E72">
            <w:pPr>
              <w:numPr>
                <w:ilvl w:val="0"/>
                <w:numId w:val="5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652EE3">
              <w:rPr>
                <w:sz w:val="22"/>
                <w:szCs w:val="20"/>
              </w:rPr>
              <w:t>v jehož knize narození je jméno osoby zapsáno</w:t>
            </w:r>
            <w:r w:rsidR="00F417F8" w:rsidRPr="00652EE3">
              <w:rPr>
                <w:sz w:val="22"/>
                <w:szCs w:val="20"/>
              </w:rPr>
              <w:t>.</w:t>
            </w:r>
          </w:p>
        </w:tc>
      </w:tr>
      <w:tr w:rsidR="00296E72" w:rsidRPr="00652EE3" w:rsidTr="00F417F8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Jakým způsobem zahájit řešení životní situace</w:t>
            </w:r>
          </w:p>
        </w:tc>
      </w:tr>
      <w:tr w:rsidR="00296E72" w:rsidRPr="00652EE3" w:rsidTr="00F417F8">
        <w:trPr>
          <w:trHeight w:val="283"/>
        </w:trPr>
        <w:tc>
          <w:tcPr>
            <w:tcW w:w="9186" w:type="dxa"/>
            <w:vAlign w:val="center"/>
          </w:tcPr>
          <w:p w:rsidR="00296E72" w:rsidRPr="00652EE3" w:rsidRDefault="00296E7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52EE3">
              <w:rPr>
                <w:sz w:val="22"/>
                <w:szCs w:val="20"/>
              </w:rPr>
              <w:t>Písemným prohlášením na příslušném matričním úřadu</w:t>
            </w:r>
            <w:r w:rsidR="00A34820" w:rsidRPr="00652EE3">
              <w:rPr>
                <w:sz w:val="22"/>
                <w:szCs w:val="20"/>
              </w:rPr>
              <w:t>.</w:t>
            </w:r>
          </w:p>
        </w:tc>
      </w:tr>
      <w:tr w:rsidR="00296E72" w:rsidRPr="00652EE3" w:rsidTr="00F417F8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Na které instituci životní situaci řešit</w:t>
            </w:r>
          </w:p>
        </w:tc>
      </w:tr>
      <w:tr w:rsidR="00296E72" w:rsidRPr="00652EE3" w:rsidTr="00571383">
        <w:trPr>
          <w:trHeight w:val="374"/>
        </w:trPr>
        <w:tc>
          <w:tcPr>
            <w:tcW w:w="9186" w:type="dxa"/>
            <w:vAlign w:val="center"/>
          </w:tcPr>
          <w:p w:rsidR="00F417F8" w:rsidRPr="00652EE3" w:rsidRDefault="00EC29DF" w:rsidP="0057138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Městský</w:t>
            </w:r>
            <w:r w:rsidR="00CB1CE3" w:rsidRPr="00652EE3">
              <w:rPr>
                <w:sz w:val="22"/>
                <w:szCs w:val="22"/>
              </w:rPr>
              <w:t xml:space="preserve"> úřad Větřní – odbor vnitřních věcí a sociálních služeb.</w:t>
            </w:r>
          </w:p>
        </w:tc>
      </w:tr>
      <w:tr w:rsidR="00296E72" w:rsidRPr="00652EE3" w:rsidTr="00F417F8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Kde, s kým a kdy životní situaci řešit</w:t>
            </w:r>
          </w:p>
        </w:tc>
      </w:tr>
      <w:tr w:rsidR="00296E72" w:rsidRPr="00652EE3">
        <w:tc>
          <w:tcPr>
            <w:tcW w:w="9186" w:type="dxa"/>
            <w:vAlign w:val="center"/>
          </w:tcPr>
          <w:p w:rsidR="00CB1CE3" w:rsidRPr="00652EE3" w:rsidRDefault="00EC29DF" w:rsidP="00CB1CE3">
            <w:pPr>
              <w:jc w:val="both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Městský</w:t>
            </w:r>
            <w:r w:rsidR="0028605A" w:rsidRPr="00652EE3">
              <w:rPr>
                <w:noProof/>
                <w:sz w:val="22"/>
                <w:szCs w:val="22"/>
              </w:rPr>
              <w:t xml:space="preserve"> úřad</w:t>
            </w:r>
            <w:r w:rsidR="00CB1CE3" w:rsidRPr="00652EE3">
              <w:rPr>
                <w:noProof/>
                <w:sz w:val="22"/>
                <w:szCs w:val="22"/>
              </w:rPr>
              <w:t xml:space="preserve"> Větřní, Na Žofíně 191, odbor vnitřních věcí a sociá</w:t>
            </w:r>
            <w:r w:rsidR="00EB0650" w:rsidRPr="00652EE3">
              <w:rPr>
                <w:noProof/>
                <w:sz w:val="22"/>
                <w:szCs w:val="22"/>
              </w:rPr>
              <w:t>l</w:t>
            </w:r>
            <w:r w:rsidR="00CB1CE3" w:rsidRPr="00652EE3">
              <w:rPr>
                <w:noProof/>
                <w:sz w:val="22"/>
                <w:szCs w:val="22"/>
              </w:rPr>
              <w:t>ních služeb, - MATRIKA</w:t>
            </w:r>
          </w:p>
          <w:p w:rsidR="00CB1CE3" w:rsidRPr="00652EE3" w:rsidRDefault="0028605A" w:rsidP="00CB1CE3">
            <w:pPr>
              <w:jc w:val="both"/>
              <w:rPr>
                <w:noProof/>
                <w:sz w:val="22"/>
                <w:szCs w:val="22"/>
              </w:rPr>
            </w:pPr>
            <w:r w:rsidRPr="00652EE3">
              <w:rPr>
                <w:noProof/>
                <w:sz w:val="22"/>
                <w:szCs w:val="22"/>
              </w:rPr>
              <w:t>p</w:t>
            </w:r>
            <w:r w:rsidR="00CB1CE3" w:rsidRPr="00652EE3">
              <w:rPr>
                <w:noProof/>
                <w:sz w:val="22"/>
                <w:szCs w:val="22"/>
              </w:rPr>
              <w:t xml:space="preserve">řízemí vpravo, číslo dveří </w:t>
            </w:r>
            <w:r w:rsidR="0006792F" w:rsidRPr="00652EE3">
              <w:rPr>
                <w:noProof/>
                <w:sz w:val="22"/>
                <w:szCs w:val="22"/>
              </w:rPr>
              <w:t>8</w:t>
            </w:r>
            <w:r w:rsidR="00CB1CE3" w:rsidRPr="00652EE3">
              <w:rPr>
                <w:noProof/>
                <w:sz w:val="22"/>
                <w:szCs w:val="22"/>
              </w:rPr>
              <w:t xml:space="preserve"> </w:t>
            </w:r>
            <w:r w:rsidR="0006792F" w:rsidRPr="00652EE3">
              <w:rPr>
                <w:noProof/>
                <w:sz w:val="22"/>
                <w:szCs w:val="22"/>
              </w:rPr>
              <w:t>nebo</w:t>
            </w:r>
            <w:r w:rsidR="00CB1CE3" w:rsidRPr="00652EE3">
              <w:rPr>
                <w:noProof/>
                <w:sz w:val="22"/>
                <w:szCs w:val="22"/>
              </w:rPr>
              <w:t xml:space="preserve"> </w:t>
            </w:r>
            <w:r w:rsidR="0006792F" w:rsidRPr="00652EE3">
              <w:rPr>
                <w:noProof/>
                <w:sz w:val="22"/>
                <w:szCs w:val="22"/>
              </w:rPr>
              <w:t>6</w:t>
            </w:r>
            <w:r w:rsidR="00CB1CE3" w:rsidRPr="00652EE3">
              <w:rPr>
                <w:noProof/>
                <w:sz w:val="22"/>
                <w:szCs w:val="22"/>
              </w:rPr>
              <w:t>.</w:t>
            </w:r>
          </w:p>
          <w:p w:rsidR="00CB1CE3" w:rsidRPr="00652EE3" w:rsidRDefault="00CB1CE3" w:rsidP="00CB1CE3">
            <w:pPr>
              <w:jc w:val="both"/>
              <w:rPr>
                <w:sz w:val="20"/>
                <w:szCs w:val="20"/>
              </w:rPr>
            </w:pPr>
            <w:r w:rsidRPr="00652EE3">
              <w:rPr>
                <w:b/>
                <w:sz w:val="22"/>
                <w:szCs w:val="22"/>
              </w:rPr>
              <w:t>Úřední hodiny</w:t>
            </w:r>
            <w:r w:rsidRPr="00652EE3">
              <w:rPr>
                <w:b/>
                <w:noProof/>
                <w:sz w:val="22"/>
                <w:szCs w:val="22"/>
              </w:rPr>
              <w:t>:</w:t>
            </w:r>
            <w:r w:rsidRPr="00652EE3">
              <w:rPr>
                <w:sz w:val="20"/>
                <w:szCs w:val="20"/>
              </w:rPr>
              <w:t xml:space="preserve"> </w:t>
            </w:r>
            <w:r w:rsidRPr="00652EE3">
              <w:rPr>
                <w:noProof/>
                <w:sz w:val="22"/>
                <w:szCs w:val="22"/>
              </w:rPr>
              <w:t xml:space="preserve">pondělí a středa - od 7:00 do 11:00 hodin a od 12:00 do 17:00 hodin, v pátek od 07:00 do 12:00 hodin. </w:t>
            </w:r>
          </w:p>
          <w:p w:rsidR="00296E72" w:rsidRPr="00652EE3" w:rsidRDefault="00CB1CE3" w:rsidP="0006792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52EE3">
              <w:rPr>
                <w:sz w:val="22"/>
                <w:szCs w:val="22"/>
              </w:rPr>
              <w:t xml:space="preserve">Informace k podání žádosti je možno získat na tel. čísle </w:t>
            </w:r>
            <w:r w:rsidR="00EC29DF" w:rsidRPr="00652EE3">
              <w:rPr>
                <w:b/>
                <w:sz w:val="22"/>
                <w:szCs w:val="22"/>
              </w:rPr>
              <w:t>380 731 544</w:t>
            </w:r>
            <w:r w:rsidR="00EC29DF" w:rsidRPr="00652EE3">
              <w:rPr>
                <w:sz w:val="22"/>
                <w:szCs w:val="22"/>
              </w:rPr>
              <w:t xml:space="preserve"> nebo</w:t>
            </w:r>
            <w:r w:rsidRPr="00652EE3">
              <w:rPr>
                <w:sz w:val="22"/>
                <w:szCs w:val="22"/>
              </w:rPr>
              <w:t xml:space="preserve"> 380 731 54</w:t>
            </w:r>
            <w:r w:rsidR="0006792F" w:rsidRPr="00652EE3">
              <w:rPr>
                <w:sz w:val="22"/>
                <w:szCs w:val="22"/>
              </w:rPr>
              <w:t>5</w:t>
            </w:r>
            <w:r w:rsidRPr="00652EE3">
              <w:rPr>
                <w:sz w:val="22"/>
                <w:szCs w:val="22"/>
              </w:rPr>
              <w:t>.</w:t>
            </w:r>
          </w:p>
        </w:tc>
      </w:tr>
      <w:tr w:rsidR="00296E72" w:rsidRPr="00652EE3" w:rsidTr="00F417F8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Jaké doklady je nutné mít s sebou</w:t>
            </w:r>
          </w:p>
        </w:tc>
      </w:tr>
      <w:tr w:rsidR="00296E72" w:rsidRPr="00652EE3">
        <w:tc>
          <w:tcPr>
            <w:tcW w:w="9186" w:type="dxa"/>
            <w:vAlign w:val="center"/>
          </w:tcPr>
          <w:p w:rsidR="00A34820" w:rsidRPr="00652EE3" w:rsidRDefault="00A34820">
            <w:pPr>
              <w:pStyle w:val="Zkladntext"/>
              <w:rPr>
                <w:rFonts w:ascii="Times New Roman" w:hAnsi="Times New Roman" w:cs="Times New Roman"/>
              </w:rPr>
            </w:pPr>
            <w:r w:rsidRPr="00652EE3">
              <w:rPr>
                <w:rFonts w:ascii="Times New Roman" w:hAnsi="Times New Roman" w:cs="Times New Roman"/>
                <w:noProof w:val="0"/>
              </w:rPr>
              <w:t xml:space="preserve">Prohlašovatel musí matričnímu úřadu prokázat totožnost platným průkazem totožnosti (například občanským průkazem nebo cestovním dokladem) a k prohlášení připojit </w:t>
            </w:r>
            <w:r w:rsidRPr="00652EE3">
              <w:rPr>
                <w:rFonts w:ascii="Times New Roman" w:hAnsi="Times New Roman" w:cs="Times New Roman"/>
              </w:rPr>
              <w:t>rodný list osoby, jejíhož jména se prohlášení týká, popř. další matriční doklady, ve kterých má být provedena oprava.</w:t>
            </w:r>
          </w:p>
          <w:p w:rsidR="00A34820" w:rsidRPr="00652EE3" w:rsidRDefault="00A34820">
            <w:pPr>
              <w:pStyle w:val="Zkladntext"/>
              <w:rPr>
                <w:rFonts w:ascii="Times New Roman" w:hAnsi="Times New Roman" w:cs="Times New Roman"/>
                <w:noProof w:val="0"/>
              </w:rPr>
            </w:pPr>
          </w:p>
          <w:p w:rsidR="00296E72" w:rsidRPr="00652EE3" w:rsidRDefault="00296E72">
            <w:pPr>
              <w:pStyle w:val="Zkladntext"/>
              <w:rPr>
                <w:rFonts w:ascii="Times New Roman" w:hAnsi="Times New Roman" w:cs="Times New Roman"/>
                <w:noProof w:val="0"/>
              </w:rPr>
            </w:pPr>
            <w:r w:rsidRPr="00652EE3">
              <w:rPr>
                <w:rFonts w:ascii="Times New Roman" w:hAnsi="Times New Roman" w:cs="Times New Roman"/>
                <w:noProof w:val="0"/>
              </w:rPr>
              <w:t>Prohláš</w:t>
            </w:r>
            <w:r w:rsidR="00F417F8" w:rsidRPr="00652EE3">
              <w:rPr>
                <w:rFonts w:ascii="Times New Roman" w:hAnsi="Times New Roman" w:cs="Times New Roman"/>
                <w:noProof w:val="0"/>
              </w:rPr>
              <w:t>ení o zvolení jména, popř. jmen,</w:t>
            </w:r>
            <w:r w:rsidRPr="00652EE3">
              <w:rPr>
                <w:rFonts w:ascii="Times New Roman" w:hAnsi="Times New Roman" w:cs="Times New Roman"/>
                <w:noProof w:val="0"/>
              </w:rPr>
              <w:t xml:space="preserve"> obsahuje:</w:t>
            </w:r>
          </w:p>
          <w:p w:rsidR="00296E72" w:rsidRPr="00652EE3" w:rsidRDefault="00CB1CE3">
            <w:pPr>
              <w:numPr>
                <w:ilvl w:val="0"/>
                <w:numId w:val="9"/>
              </w:numPr>
              <w:jc w:val="both"/>
              <w:rPr>
                <w:sz w:val="22"/>
                <w:szCs w:val="20"/>
              </w:rPr>
            </w:pPr>
            <w:r w:rsidRPr="00652EE3">
              <w:rPr>
                <w:sz w:val="22"/>
                <w:szCs w:val="20"/>
              </w:rPr>
              <w:t>Jméno (a), příjmení</w:t>
            </w:r>
            <w:r w:rsidR="00296E72" w:rsidRPr="00652EE3">
              <w:rPr>
                <w:sz w:val="22"/>
                <w:szCs w:val="20"/>
              </w:rPr>
              <w:t>, datum a místo narození a rodné číslo osoby, je</w:t>
            </w:r>
            <w:r w:rsidR="00F417F8" w:rsidRPr="00652EE3">
              <w:rPr>
                <w:sz w:val="22"/>
                <w:szCs w:val="20"/>
              </w:rPr>
              <w:t>jíhož jména se prohlášení týká;</w:t>
            </w:r>
          </w:p>
          <w:p w:rsidR="00296E72" w:rsidRPr="00652EE3" w:rsidRDefault="00CB1CE3">
            <w:pPr>
              <w:numPr>
                <w:ilvl w:val="0"/>
                <w:numId w:val="9"/>
              </w:numPr>
              <w:jc w:val="both"/>
              <w:rPr>
                <w:sz w:val="22"/>
                <w:szCs w:val="20"/>
              </w:rPr>
            </w:pPr>
            <w:r w:rsidRPr="00652EE3">
              <w:rPr>
                <w:sz w:val="22"/>
                <w:szCs w:val="20"/>
              </w:rPr>
              <w:t>Jméno (a), příjmení</w:t>
            </w:r>
            <w:r w:rsidR="00296E72" w:rsidRPr="00652EE3">
              <w:rPr>
                <w:sz w:val="22"/>
                <w:szCs w:val="20"/>
              </w:rPr>
              <w:t>, popřípadě rodná příjmení a datum narození fyzických osob činících prohlášení za nezletilce;</w:t>
            </w:r>
          </w:p>
          <w:p w:rsidR="00296E72" w:rsidRPr="00652EE3" w:rsidRDefault="00296E72">
            <w:pPr>
              <w:numPr>
                <w:ilvl w:val="0"/>
                <w:numId w:val="9"/>
              </w:numPr>
              <w:jc w:val="both"/>
              <w:rPr>
                <w:sz w:val="22"/>
                <w:szCs w:val="20"/>
              </w:rPr>
            </w:pPr>
            <w:r w:rsidRPr="00652EE3">
              <w:rPr>
                <w:sz w:val="22"/>
                <w:szCs w:val="20"/>
              </w:rPr>
              <w:t>jméno, popřípadě jména, která si zvolí;</w:t>
            </w:r>
          </w:p>
          <w:p w:rsidR="00296E72" w:rsidRPr="00652EE3" w:rsidRDefault="00296E72">
            <w:pPr>
              <w:numPr>
                <w:ilvl w:val="0"/>
                <w:numId w:val="9"/>
              </w:numPr>
              <w:jc w:val="both"/>
              <w:rPr>
                <w:sz w:val="22"/>
                <w:szCs w:val="20"/>
              </w:rPr>
            </w:pPr>
            <w:r w:rsidRPr="00652EE3">
              <w:rPr>
                <w:sz w:val="22"/>
                <w:szCs w:val="20"/>
              </w:rPr>
              <w:t>ověřený podpis prohlašovatelů; je-li prohlášení činěno osobně, ověření podpisů není třeba a matriční úřad na prohlášení poznamená, že bylo podepsáno před ním, nebo že byl podpis, popřípadě podpisy, uznány za vlastní;</w:t>
            </w:r>
          </w:p>
          <w:p w:rsidR="00296E72" w:rsidRPr="00652EE3" w:rsidRDefault="00296E72" w:rsidP="00A34820">
            <w:pPr>
              <w:numPr>
                <w:ilvl w:val="0"/>
                <w:numId w:val="9"/>
              </w:numPr>
              <w:jc w:val="both"/>
              <w:rPr>
                <w:sz w:val="22"/>
                <w:szCs w:val="20"/>
              </w:rPr>
            </w:pPr>
            <w:r w:rsidRPr="00652EE3">
              <w:rPr>
                <w:sz w:val="22"/>
                <w:szCs w:val="20"/>
              </w:rPr>
              <w:t xml:space="preserve">případně souhlas nezletilého </w:t>
            </w:r>
            <w:r w:rsidR="00571383" w:rsidRPr="00652EE3">
              <w:rPr>
                <w:sz w:val="22"/>
                <w:szCs w:val="20"/>
              </w:rPr>
              <w:t xml:space="preserve">dítěte </w:t>
            </w:r>
            <w:r w:rsidRPr="00652EE3">
              <w:rPr>
                <w:sz w:val="22"/>
                <w:szCs w:val="20"/>
              </w:rPr>
              <w:t xml:space="preserve">staršího 15 let s prohlášením o zvolení druhého jména. </w:t>
            </w:r>
          </w:p>
        </w:tc>
      </w:tr>
      <w:tr w:rsidR="00296E72" w:rsidRPr="00652EE3" w:rsidTr="00AD71AF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Jaké jsou potřebné formuláře a kde jsou k dispozici</w:t>
            </w:r>
          </w:p>
        </w:tc>
      </w:tr>
      <w:tr w:rsidR="00296E72" w:rsidRPr="00652EE3">
        <w:tc>
          <w:tcPr>
            <w:tcW w:w="9186" w:type="dxa"/>
            <w:vAlign w:val="center"/>
          </w:tcPr>
          <w:p w:rsidR="00296E72" w:rsidRPr="00652EE3" w:rsidRDefault="00296E72">
            <w:pPr>
              <w:jc w:val="both"/>
              <w:rPr>
                <w:sz w:val="22"/>
                <w:szCs w:val="20"/>
              </w:rPr>
            </w:pPr>
            <w:r w:rsidRPr="00652EE3">
              <w:rPr>
                <w:sz w:val="22"/>
                <w:szCs w:val="20"/>
              </w:rPr>
              <w:t xml:space="preserve">Jednotné formuláře nejsou předepsány. Je stanoven pouze obsah prohlášení o zvolení jména.  </w:t>
            </w:r>
          </w:p>
          <w:p w:rsidR="00296E72" w:rsidRPr="00652EE3" w:rsidRDefault="00AD71AF" w:rsidP="00AD71AF">
            <w:pPr>
              <w:jc w:val="both"/>
              <w:rPr>
                <w:color w:val="FF0000"/>
              </w:rPr>
            </w:pPr>
            <w:r w:rsidRPr="00652EE3">
              <w:rPr>
                <w:color w:val="FF0000"/>
                <w:sz w:val="22"/>
                <w:szCs w:val="20"/>
              </w:rPr>
              <w:t>Lze využít t</w:t>
            </w:r>
            <w:r w:rsidR="00296E72" w:rsidRPr="00652EE3">
              <w:rPr>
                <w:color w:val="FF0000"/>
                <w:sz w:val="22"/>
                <w:szCs w:val="20"/>
              </w:rPr>
              <w:t xml:space="preserve">iskopis </w:t>
            </w:r>
            <w:r w:rsidR="00EC29DF">
              <w:rPr>
                <w:color w:val="FF0000"/>
                <w:sz w:val="22"/>
                <w:szCs w:val="20"/>
              </w:rPr>
              <w:t>Městského</w:t>
            </w:r>
            <w:r w:rsidR="0028605A" w:rsidRPr="00652EE3">
              <w:rPr>
                <w:color w:val="FF0000"/>
                <w:sz w:val="22"/>
                <w:szCs w:val="20"/>
              </w:rPr>
              <w:t xml:space="preserve"> úřadu Větřní</w:t>
            </w:r>
            <w:r w:rsidRPr="00652EE3">
              <w:rPr>
                <w:color w:val="FF0000"/>
                <w:sz w:val="22"/>
                <w:szCs w:val="20"/>
              </w:rPr>
              <w:t xml:space="preserve">, který </w:t>
            </w:r>
            <w:r w:rsidR="00296E72" w:rsidRPr="00652EE3">
              <w:rPr>
                <w:color w:val="FF0000"/>
                <w:sz w:val="22"/>
                <w:szCs w:val="20"/>
              </w:rPr>
              <w:t xml:space="preserve">je k dispozici na </w:t>
            </w:r>
            <w:r w:rsidR="00A34820" w:rsidRPr="00652EE3">
              <w:rPr>
                <w:color w:val="FF0000"/>
                <w:sz w:val="22"/>
                <w:szCs w:val="20"/>
              </w:rPr>
              <w:t>MATRICE</w:t>
            </w:r>
            <w:r w:rsidRPr="00652EE3">
              <w:rPr>
                <w:color w:val="FF0000"/>
                <w:sz w:val="22"/>
                <w:szCs w:val="20"/>
              </w:rPr>
              <w:t xml:space="preserve"> - </w:t>
            </w:r>
            <w:r w:rsidRPr="00652EE3">
              <w:rPr>
                <w:color w:val="FF0000"/>
                <w:sz w:val="22"/>
                <w:szCs w:val="22"/>
              </w:rPr>
              <w:t>P</w:t>
            </w:r>
            <w:r w:rsidR="00296E72" w:rsidRPr="00652EE3">
              <w:rPr>
                <w:color w:val="FF0000"/>
                <w:sz w:val="22"/>
                <w:szCs w:val="22"/>
              </w:rPr>
              <w:t>rohlášení o volbě druhého jména:</w:t>
            </w:r>
          </w:p>
          <w:p w:rsidR="00296E72" w:rsidRPr="00652EE3" w:rsidRDefault="00296E72">
            <w:pPr>
              <w:numPr>
                <w:ilvl w:val="0"/>
                <w:numId w:val="10"/>
              </w:numPr>
              <w:jc w:val="both"/>
              <w:rPr>
                <w:sz w:val="22"/>
                <w:szCs w:val="20"/>
              </w:rPr>
            </w:pPr>
            <w:r w:rsidRPr="00652EE3">
              <w:rPr>
                <w:sz w:val="22"/>
                <w:szCs w:val="20"/>
              </w:rPr>
              <w:t xml:space="preserve">pro osoby narozené do </w:t>
            </w:r>
            <w:r w:rsidR="00EC29DF" w:rsidRPr="00652EE3">
              <w:rPr>
                <w:sz w:val="22"/>
                <w:szCs w:val="20"/>
              </w:rPr>
              <w:t>31. 12. 1949</w:t>
            </w:r>
            <w:r w:rsidR="00AD71AF" w:rsidRPr="00652EE3">
              <w:rPr>
                <w:sz w:val="22"/>
                <w:szCs w:val="20"/>
              </w:rPr>
              <w:t>,</w:t>
            </w:r>
          </w:p>
          <w:p w:rsidR="00296E72" w:rsidRPr="00652EE3" w:rsidRDefault="00296E72">
            <w:pPr>
              <w:numPr>
                <w:ilvl w:val="0"/>
                <w:numId w:val="10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652EE3">
              <w:rPr>
                <w:sz w:val="22"/>
                <w:szCs w:val="20"/>
              </w:rPr>
              <w:t xml:space="preserve">pro osoby narozené od </w:t>
            </w:r>
            <w:r w:rsidR="00EC29DF" w:rsidRPr="00652EE3">
              <w:rPr>
                <w:sz w:val="22"/>
                <w:szCs w:val="20"/>
              </w:rPr>
              <w:t>1. 1. 1950</w:t>
            </w:r>
            <w:r w:rsidR="00571383" w:rsidRPr="00652EE3">
              <w:rPr>
                <w:sz w:val="22"/>
                <w:szCs w:val="20"/>
              </w:rPr>
              <w:t>,</w:t>
            </w:r>
          </w:p>
          <w:p w:rsidR="00571383" w:rsidRPr="00652EE3" w:rsidRDefault="00571383" w:rsidP="00571383">
            <w:pPr>
              <w:numPr>
                <w:ilvl w:val="0"/>
                <w:numId w:val="10"/>
              </w:numPr>
              <w:jc w:val="both"/>
              <w:rPr>
                <w:sz w:val="22"/>
                <w:szCs w:val="20"/>
              </w:rPr>
            </w:pPr>
            <w:r w:rsidRPr="00652EE3">
              <w:rPr>
                <w:sz w:val="22"/>
                <w:szCs w:val="20"/>
              </w:rPr>
              <w:t>pro osobu mladší 18 let.</w:t>
            </w:r>
          </w:p>
        </w:tc>
      </w:tr>
      <w:tr w:rsidR="00296E72" w:rsidRPr="00652EE3" w:rsidTr="00AD71AF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Jaké jsou poplatky a jak je lze uhradit</w:t>
            </w:r>
          </w:p>
        </w:tc>
      </w:tr>
      <w:tr w:rsidR="00296E72" w:rsidRPr="00652EE3">
        <w:tc>
          <w:tcPr>
            <w:tcW w:w="9186" w:type="dxa"/>
            <w:vAlign w:val="center"/>
          </w:tcPr>
          <w:p w:rsidR="00296E72" w:rsidRPr="00652EE3" w:rsidRDefault="00296E72" w:rsidP="00AD71A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52EE3">
              <w:rPr>
                <w:sz w:val="22"/>
                <w:szCs w:val="20"/>
              </w:rPr>
              <w:t xml:space="preserve">Za prohlášení o volbě druhého jména se </w:t>
            </w:r>
            <w:r w:rsidR="00AD71AF" w:rsidRPr="00652EE3">
              <w:rPr>
                <w:sz w:val="22"/>
                <w:szCs w:val="20"/>
              </w:rPr>
              <w:t>nehradí</w:t>
            </w:r>
            <w:r w:rsidRPr="00652EE3">
              <w:rPr>
                <w:sz w:val="22"/>
                <w:szCs w:val="20"/>
              </w:rPr>
              <w:t xml:space="preserve"> žádný správní poplatek</w:t>
            </w:r>
            <w:r w:rsidR="00A34820" w:rsidRPr="00652EE3">
              <w:rPr>
                <w:sz w:val="22"/>
                <w:szCs w:val="20"/>
              </w:rPr>
              <w:t>.</w:t>
            </w:r>
          </w:p>
        </w:tc>
      </w:tr>
      <w:tr w:rsidR="00296E72" w:rsidRPr="00652EE3" w:rsidTr="00DC233B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Jaké jsou lhůty pro vyřízení</w:t>
            </w:r>
          </w:p>
        </w:tc>
      </w:tr>
      <w:tr w:rsidR="00296E72" w:rsidRPr="00652EE3" w:rsidTr="00AE4444">
        <w:trPr>
          <w:trHeight w:val="1587"/>
        </w:trPr>
        <w:tc>
          <w:tcPr>
            <w:tcW w:w="9186" w:type="dxa"/>
            <w:vAlign w:val="center"/>
          </w:tcPr>
          <w:p w:rsidR="00DC233B" w:rsidRPr="00652EE3" w:rsidRDefault="00DC233B" w:rsidP="00DC233B">
            <w:pPr>
              <w:numPr>
                <w:ilvl w:val="0"/>
                <w:numId w:val="12"/>
              </w:numPr>
              <w:jc w:val="both"/>
              <w:rPr>
                <w:sz w:val="22"/>
                <w:szCs w:val="20"/>
              </w:rPr>
            </w:pPr>
            <w:r w:rsidRPr="00652EE3">
              <w:rPr>
                <w:sz w:val="22"/>
                <w:szCs w:val="20"/>
              </w:rPr>
              <w:t>Příslušný matriční úřad provede zápis do matriční knihy a vystaví matriční doklad bezodkladně, nejdéle však do 30 dnů od obdržení podkladů pro zápis</w:t>
            </w:r>
            <w:r w:rsidRPr="00652EE3">
              <w:rPr>
                <w:noProof/>
                <w:sz w:val="22"/>
                <w:szCs w:val="20"/>
              </w:rPr>
              <w:t>.</w:t>
            </w:r>
          </w:p>
          <w:p w:rsidR="00296E72" w:rsidRPr="00652EE3" w:rsidRDefault="00296E72" w:rsidP="00DC233B">
            <w:pPr>
              <w:numPr>
                <w:ilvl w:val="0"/>
                <w:numId w:val="12"/>
              </w:numPr>
              <w:jc w:val="both"/>
              <w:rPr>
                <w:sz w:val="22"/>
                <w:szCs w:val="20"/>
              </w:rPr>
            </w:pPr>
            <w:r w:rsidRPr="00652EE3">
              <w:rPr>
                <w:sz w:val="22"/>
                <w:szCs w:val="20"/>
              </w:rPr>
              <w:t xml:space="preserve">Pokud je prohlášení učiněno před matričním úřadem podle místa trvalého pobytu prohlašovatele, postoupí tento matriční úřad prohlášení do </w:t>
            </w:r>
            <w:r w:rsidR="00A34820" w:rsidRPr="00652EE3">
              <w:rPr>
                <w:sz w:val="22"/>
                <w:szCs w:val="20"/>
              </w:rPr>
              <w:t>3</w:t>
            </w:r>
            <w:r w:rsidRPr="00652EE3">
              <w:rPr>
                <w:sz w:val="22"/>
                <w:szCs w:val="20"/>
              </w:rPr>
              <w:t xml:space="preserve"> pracovních dnů matričnímu úřadu příslušnému k zápisu do matriční knihy.</w:t>
            </w:r>
            <w:r w:rsidR="00AE4444" w:rsidRPr="00652EE3">
              <w:rPr>
                <w:sz w:val="22"/>
                <w:szCs w:val="20"/>
              </w:rPr>
              <w:t xml:space="preserve"> </w:t>
            </w:r>
            <w:r w:rsidRPr="00652EE3">
              <w:rPr>
                <w:sz w:val="22"/>
                <w:szCs w:val="20"/>
              </w:rPr>
              <w:t>Matriční úřad zapíše prohlášení o volbě druhého jména a vystaví matriční doklad do 30 dnů od obdržení podkladů pro zápis</w:t>
            </w:r>
            <w:r w:rsidRPr="00652EE3">
              <w:rPr>
                <w:noProof/>
                <w:sz w:val="22"/>
                <w:szCs w:val="20"/>
              </w:rPr>
              <w:t>.</w:t>
            </w:r>
          </w:p>
          <w:p w:rsidR="00402E53" w:rsidRPr="00652EE3" w:rsidRDefault="00402E53" w:rsidP="00402E53">
            <w:pPr>
              <w:jc w:val="both"/>
              <w:rPr>
                <w:b/>
                <w:color w:val="FF0000"/>
                <w:sz w:val="22"/>
                <w:szCs w:val="20"/>
              </w:rPr>
            </w:pPr>
            <w:r w:rsidRPr="00652EE3">
              <w:rPr>
                <w:b/>
                <w:color w:val="FF0000"/>
                <w:sz w:val="22"/>
                <w:szCs w:val="20"/>
              </w:rPr>
              <w:t>Upozornění pro občany ČR:</w:t>
            </w:r>
          </w:p>
          <w:p w:rsidR="00201DF1" w:rsidRPr="00652EE3" w:rsidRDefault="00402E53" w:rsidP="00A34820">
            <w:pPr>
              <w:jc w:val="both"/>
              <w:rPr>
                <w:color w:val="FF0000"/>
                <w:sz w:val="22"/>
                <w:szCs w:val="20"/>
              </w:rPr>
            </w:pPr>
            <w:r w:rsidRPr="00652EE3">
              <w:rPr>
                <w:color w:val="FF0000"/>
                <w:sz w:val="22"/>
                <w:szCs w:val="20"/>
              </w:rPr>
              <w:t xml:space="preserve">Po zápisu zvolení druhého jména do příslušné matriční knihy je matriční úřad povinen oddělit občanovi </w:t>
            </w:r>
            <w:r w:rsidR="00326827" w:rsidRPr="00652EE3">
              <w:rPr>
                <w:color w:val="FF0000"/>
                <w:sz w:val="22"/>
                <w:szCs w:val="20"/>
              </w:rPr>
              <w:t xml:space="preserve">ČR </w:t>
            </w:r>
            <w:r w:rsidRPr="00652EE3">
              <w:rPr>
                <w:color w:val="FF0000"/>
                <w:sz w:val="22"/>
                <w:szCs w:val="20"/>
              </w:rPr>
              <w:t>vyznačenou část občanského průkazu a vydat mu potvrzení o změně údajů zapisovaných do občanského průkazu. Občan musí po té požádat o vydání nového občanského průkazu.</w:t>
            </w:r>
          </w:p>
        </w:tc>
      </w:tr>
      <w:tr w:rsidR="00296E72" w:rsidRPr="00652EE3"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Elektronická služba, kterou lze využít</w:t>
            </w:r>
          </w:p>
        </w:tc>
      </w:tr>
      <w:tr w:rsidR="00296E72" w:rsidRPr="00652EE3" w:rsidTr="00AE4444">
        <w:trPr>
          <w:trHeight w:val="283"/>
        </w:trPr>
        <w:tc>
          <w:tcPr>
            <w:tcW w:w="9186" w:type="dxa"/>
            <w:vAlign w:val="center"/>
          </w:tcPr>
          <w:p w:rsidR="00201DF1" w:rsidRPr="00652EE3" w:rsidRDefault="005B4F9A" w:rsidP="005B4F9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52EE3">
              <w:rPr>
                <w:noProof/>
                <w:sz w:val="22"/>
                <w:szCs w:val="20"/>
              </w:rPr>
              <w:t>Prohlášení o volbě druhého jména</w:t>
            </w:r>
            <w:r w:rsidR="00296E72" w:rsidRPr="00652EE3">
              <w:rPr>
                <w:noProof/>
                <w:sz w:val="22"/>
                <w:szCs w:val="20"/>
              </w:rPr>
              <w:t xml:space="preserve"> nelze </w:t>
            </w:r>
            <w:r w:rsidRPr="00652EE3">
              <w:rPr>
                <w:noProof/>
                <w:sz w:val="22"/>
                <w:szCs w:val="20"/>
              </w:rPr>
              <w:t>vyřídit</w:t>
            </w:r>
            <w:r w:rsidR="00296E72" w:rsidRPr="00652EE3">
              <w:rPr>
                <w:noProof/>
                <w:sz w:val="22"/>
                <w:szCs w:val="20"/>
              </w:rPr>
              <w:t xml:space="preserve"> prostřednictvím elektronické služby</w:t>
            </w:r>
          </w:p>
        </w:tc>
      </w:tr>
      <w:tr w:rsidR="00296E72" w:rsidRPr="00652EE3" w:rsidTr="00AE4444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Podle kterého právního předpisu se postupuje</w:t>
            </w:r>
          </w:p>
        </w:tc>
      </w:tr>
      <w:tr w:rsidR="00296E72" w:rsidRPr="00652EE3">
        <w:trPr>
          <w:trHeight w:val="708"/>
        </w:trPr>
        <w:tc>
          <w:tcPr>
            <w:tcW w:w="9186" w:type="dxa"/>
            <w:vAlign w:val="center"/>
          </w:tcPr>
          <w:p w:rsidR="00296E72" w:rsidRPr="00652EE3" w:rsidRDefault="00296E7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52EE3">
              <w:rPr>
                <w:noProof/>
                <w:sz w:val="22"/>
                <w:szCs w:val="20"/>
              </w:rPr>
              <w:t>Zákon č. 301/2000 Sb., o matrikách, jménu a příjmení a o změně některých souvisejících zákonů, ve znění pozdějších předpisů - § 61 až § 67, § 85 a § 86</w:t>
            </w:r>
          </w:p>
        </w:tc>
      </w:tr>
      <w:tr w:rsidR="00296E72" w:rsidRPr="00652EE3" w:rsidTr="00AE4444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lastRenderedPageBreak/>
              <w:t>Jaké jsou opravné prostředky a jak se uplatňují</w:t>
            </w:r>
          </w:p>
        </w:tc>
      </w:tr>
      <w:tr w:rsidR="00296E72" w:rsidRPr="00652EE3">
        <w:tc>
          <w:tcPr>
            <w:tcW w:w="9186" w:type="dxa"/>
            <w:vAlign w:val="center"/>
          </w:tcPr>
          <w:p w:rsidR="00296E72" w:rsidRPr="00652EE3" w:rsidRDefault="00AE4444" w:rsidP="00EC29DF">
            <w:pPr>
              <w:jc w:val="both"/>
              <w:rPr>
                <w:noProof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 xml:space="preserve">Pokud matriční úřad prohlašovateli nevyhoví v plném rozsahu (tj. druhé jméno nezapíše do matriční knihy), vydá o tom rozhodnutí. Účastník řízení </w:t>
            </w:r>
            <w:r w:rsidRPr="00652EE3">
              <w:rPr>
                <w:sz w:val="22"/>
                <w:szCs w:val="22"/>
              </w:rPr>
              <w:t xml:space="preserve">se může proti rozhodnutí odvolat do 15 dnů ode dne jeho oznámení ke Krajskému úřadu </w:t>
            </w:r>
            <w:r w:rsidR="00CB1CE3" w:rsidRPr="00652EE3">
              <w:rPr>
                <w:sz w:val="22"/>
                <w:szCs w:val="22"/>
              </w:rPr>
              <w:t>Jihočeského</w:t>
            </w:r>
            <w:r w:rsidRPr="00652EE3">
              <w:rPr>
                <w:sz w:val="22"/>
                <w:szCs w:val="22"/>
              </w:rPr>
              <w:t xml:space="preserve"> kraje. Odvolání se podává u </w:t>
            </w:r>
            <w:r w:rsidR="00EC29DF">
              <w:rPr>
                <w:sz w:val="22"/>
                <w:szCs w:val="22"/>
              </w:rPr>
              <w:t>Městského</w:t>
            </w:r>
            <w:r w:rsidR="00CB1CE3" w:rsidRPr="00652EE3">
              <w:rPr>
                <w:sz w:val="22"/>
                <w:szCs w:val="22"/>
              </w:rPr>
              <w:t xml:space="preserve"> úřadu Větřní</w:t>
            </w:r>
            <w:r w:rsidRPr="00652EE3">
              <w:rPr>
                <w:sz w:val="22"/>
                <w:szCs w:val="22"/>
              </w:rPr>
              <w:t>.</w:t>
            </w:r>
          </w:p>
        </w:tc>
      </w:tr>
      <w:tr w:rsidR="00296E72" w:rsidRPr="00652EE3" w:rsidTr="00AE4444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Jaké sankce mohou být uplatněny v případě nedodržení povinností</w:t>
            </w:r>
          </w:p>
        </w:tc>
      </w:tr>
      <w:tr w:rsidR="00296E72" w:rsidRPr="00652EE3">
        <w:tc>
          <w:tcPr>
            <w:tcW w:w="9186" w:type="dxa"/>
            <w:vAlign w:val="center"/>
          </w:tcPr>
          <w:p w:rsidR="00296E72" w:rsidRPr="00652EE3" w:rsidRDefault="00296E72">
            <w:pPr>
              <w:jc w:val="both"/>
              <w:rPr>
                <w:noProof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-----</w:t>
            </w:r>
          </w:p>
        </w:tc>
      </w:tr>
      <w:tr w:rsidR="00296E72" w:rsidRPr="00652EE3" w:rsidTr="00AE4444">
        <w:trPr>
          <w:trHeight w:val="283"/>
        </w:trPr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Za správnost popisu odpovídá útvar</w:t>
            </w:r>
          </w:p>
        </w:tc>
      </w:tr>
      <w:tr w:rsidR="00296E72" w:rsidRPr="00652EE3">
        <w:tc>
          <w:tcPr>
            <w:tcW w:w="9186" w:type="dxa"/>
            <w:vAlign w:val="center"/>
          </w:tcPr>
          <w:p w:rsidR="00296E72" w:rsidRPr="00652EE3" w:rsidRDefault="00296E72" w:rsidP="00CB1CE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52EE3">
              <w:rPr>
                <w:noProof/>
                <w:sz w:val="22"/>
                <w:szCs w:val="22"/>
              </w:rPr>
              <w:t>Odbor vnitřních věcí</w:t>
            </w:r>
            <w:r w:rsidR="00CB1CE3" w:rsidRPr="00652EE3">
              <w:rPr>
                <w:noProof/>
                <w:sz w:val="22"/>
                <w:szCs w:val="22"/>
              </w:rPr>
              <w:t xml:space="preserve"> a sociálních služeb.</w:t>
            </w:r>
          </w:p>
        </w:tc>
      </w:tr>
      <w:tr w:rsidR="00296E72" w:rsidRPr="00652EE3"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Popis je zpracován podle právního stavu ke dni</w:t>
            </w:r>
          </w:p>
        </w:tc>
      </w:tr>
      <w:tr w:rsidR="00296E72" w:rsidRPr="00652EE3">
        <w:tc>
          <w:tcPr>
            <w:tcW w:w="9186" w:type="dxa"/>
            <w:vAlign w:val="center"/>
          </w:tcPr>
          <w:p w:rsidR="00296E72" w:rsidRPr="00652EE3" w:rsidRDefault="00A34820" w:rsidP="00EC29DF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noProof/>
                <w:sz w:val="22"/>
                <w:szCs w:val="22"/>
              </w:rPr>
              <w:t>01.</w:t>
            </w:r>
            <w:r w:rsidR="00652EE3">
              <w:rPr>
                <w:noProof/>
                <w:sz w:val="22"/>
                <w:szCs w:val="22"/>
              </w:rPr>
              <w:t xml:space="preserve"> </w:t>
            </w:r>
            <w:r w:rsidR="004E2613" w:rsidRPr="00652EE3">
              <w:rPr>
                <w:noProof/>
                <w:sz w:val="22"/>
                <w:szCs w:val="22"/>
              </w:rPr>
              <w:t>01.</w:t>
            </w:r>
            <w:r w:rsidR="00652EE3">
              <w:rPr>
                <w:noProof/>
                <w:sz w:val="22"/>
                <w:szCs w:val="22"/>
              </w:rPr>
              <w:t xml:space="preserve"> </w:t>
            </w:r>
            <w:r w:rsidR="004E2613" w:rsidRPr="00652EE3">
              <w:rPr>
                <w:noProof/>
                <w:sz w:val="22"/>
                <w:szCs w:val="22"/>
              </w:rPr>
              <w:t>201</w:t>
            </w:r>
            <w:r w:rsidR="00EC29DF">
              <w:rPr>
                <w:noProof/>
                <w:sz w:val="22"/>
                <w:szCs w:val="22"/>
              </w:rPr>
              <w:t>7</w:t>
            </w:r>
          </w:p>
        </w:tc>
      </w:tr>
      <w:tr w:rsidR="00296E72" w:rsidRPr="00652EE3"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Popis byl naposledy aktualizován</w:t>
            </w:r>
          </w:p>
        </w:tc>
      </w:tr>
      <w:tr w:rsidR="00296E72" w:rsidRPr="00652EE3">
        <w:tc>
          <w:tcPr>
            <w:tcW w:w="9186" w:type="dxa"/>
            <w:vAlign w:val="center"/>
          </w:tcPr>
          <w:p w:rsidR="00296E72" w:rsidRPr="00652EE3" w:rsidRDefault="00652EE3" w:rsidP="00652EE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  <w:r w:rsidRPr="00652EE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04</w:t>
            </w:r>
            <w:r w:rsidRPr="00652EE3">
              <w:rPr>
                <w:color w:val="000000"/>
                <w:sz w:val="22"/>
                <w:szCs w:val="22"/>
              </w:rPr>
              <w:t>. 201</w:t>
            </w:r>
            <w:r w:rsidR="00EC29DF">
              <w:rPr>
                <w:color w:val="000000"/>
                <w:sz w:val="22"/>
                <w:szCs w:val="22"/>
              </w:rPr>
              <w:t>7</w:t>
            </w:r>
          </w:p>
        </w:tc>
      </w:tr>
      <w:tr w:rsidR="00296E72" w:rsidRPr="00652EE3">
        <w:tc>
          <w:tcPr>
            <w:tcW w:w="9186" w:type="dxa"/>
            <w:shd w:val="clear" w:color="auto" w:fill="D9D9D9"/>
            <w:vAlign w:val="center"/>
          </w:tcPr>
          <w:p w:rsidR="00296E72" w:rsidRPr="00652EE3" w:rsidRDefault="00296E72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>Datum konce platnosti popisu</w:t>
            </w:r>
          </w:p>
        </w:tc>
      </w:tr>
      <w:tr w:rsidR="00296E72" w:rsidRPr="00652EE3" w:rsidTr="00AE4444">
        <w:trPr>
          <w:trHeight w:val="283"/>
        </w:trPr>
        <w:tc>
          <w:tcPr>
            <w:tcW w:w="9186" w:type="dxa"/>
            <w:vAlign w:val="center"/>
          </w:tcPr>
          <w:p w:rsidR="00296E72" w:rsidRPr="00652EE3" w:rsidRDefault="00AE4444" w:rsidP="00A34820">
            <w:pPr>
              <w:jc w:val="both"/>
              <w:rPr>
                <w:color w:val="000000"/>
                <w:sz w:val="22"/>
                <w:szCs w:val="22"/>
              </w:rPr>
            </w:pPr>
            <w:r w:rsidRPr="00652EE3">
              <w:rPr>
                <w:color w:val="000000"/>
                <w:sz w:val="22"/>
                <w:szCs w:val="22"/>
              </w:rPr>
              <w:t xml:space="preserve">Při změně </w:t>
            </w:r>
            <w:r w:rsidR="00A34820" w:rsidRPr="00652EE3">
              <w:rPr>
                <w:color w:val="000000"/>
                <w:sz w:val="22"/>
                <w:szCs w:val="22"/>
              </w:rPr>
              <w:t xml:space="preserve">právních předpisů </w:t>
            </w:r>
            <w:r w:rsidRPr="00652EE3">
              <w:rPr>
                <w:color w:val="000000"/>
                <w:sz w:val="22"/>
                <w:szCs w:val="22"/>
              </w:rPr>
              <w:t>na úseku matrik, jména a příjmení.</w:t>
            </w:r>
          </w:p>
        </w:tc>
      </w:tr>
    </w:tbl>
    <w:p w:rsidR="00296E72" w:rsidRPr="00652EE3" w:rsidRDefault="00296E72">
      <w:pP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sectPr w:rsidR="00296E72" w:rsidRPr="00652EE3" w:rsidSect="00652EE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43D"/>
    <w:multiLevelType w:val="hybridMultilevel"/>
    <w:tmpl w:val="E318C37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774D9"/>
    <w:multiLevelType w:val="hybridMultilevel"/>
    <w:tmpl w:val="B16CFACE"/>
    <w:lvl w:ilvl="0" w:tplc="8E549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807EA"/>
    <w:multiLevelType w:val="hybridMultilevel"/>
    <w:tmpl w:val="8668AA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A7919"/>
    <w:multiLevelType w:val="hybridMultilevel"/>
    <w:tmpl w:val="AE06ADEE"/>
    <w:lvl w:ilvl="0" w:tplc="8E549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70D36"/>
    <w:multiLevelType w:val="hybridMultilevel"/>
    <w:tmpl w:val="FBD6D2D6"/>
    <w:lvl w:ilvl="0" w:tplc="3A58C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733B"/>
    <w:multiLevelType w:val="hybridMultilevel"/>
    <w:tmpl w:val="D302758A"/>
    <w:lvl w:ilvl="0" w:tplc="8E549F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4D0153"/>
    <w:multiLevelType w:val="hybridMultilevel"/>
    <w:tmpl w:val="E3BC405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8F2147"/>
    <w:multiLevelType w:val="hybridMultilevel"/>
    <w:tmpl w:val="3B8E2EE8"/>
    <w:lvl w:ilvl="0" w:tplc="8E549F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31B2B"/>
    <w:multiLevelType w:val="hybridMultilevel"/>
    <w:tmpl w:val="064C0F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A60AB"/>
    <w:multiLevelType w:val="hybridMultilevel"/>
    <w:tmpl w:val="86DAF65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5A505A"/>
    <w:multiLevelType w:val="multilevel"/>
    <w:tmpl w:val="064C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8482F"/>
    <w:multiLevelType w:val="hybridMultilevel"/>
    <w:tmpl w:val="D30275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241"/>
    <w:rsid w:val="0006792F"/>
    <w:rsid w:val="00201DF1"/>
    <w:rsid w:val="00267241"/>
    <w:rsid w:val="0028605A"/>
    <w:rsid w:val="00296E72"/>
    <w:rsid w:val="00326827"/>
    <w:rsid w:val="00402E53"/>
    <w:rsid w:val="004B6D82"/>
    <w:rsid w:val="004E2613"/>
    <w:rsid w:val="00513CFD"/>
    <w:rsid w:val="00571383"/>
    <w:rsid w:val="005B4F9A"/>
    <w:rsid w:val="00652EE3"/>
    <w:rsid w:val="007F7734"/>
    <w:rsid w:val="008368E9"/>
    <w:rsid w:val="00A34820"/>
    <w:rsid w:val="00A65E36"/>
    <w:rsid w:val="00AB6FA3"/>
    <w:rsid w:val="00AD71AF"/>
    <w:rsid w:val="00AE4444"/>
    <w:rsid w:val="00BB4DE0"/>
    <w:rsid w:val="00BD6039"/>
    <w:rsid w:val="00C25ACE"/>
    <w:rsid w:val="00C9217A"/>
    <w:rsid w:val="00CB1CE3"/>
    <w:rsid w:val="00D812CF"/>
    <w:rsid w:val="00DA5CB4"/>
    <w:rsid w:val="00DC233B"/>
    <w:rsid w:val="00E15C80"/>
    <w:rsid w:val="00EB0650"/>
    <w:rsid w:val="00EC29DF"/>
    <w:rsid w:val="00F347F4"/>
    <w:rsid w:val="00F4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28C69-CF82-441A-9152-E5898DF8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E36"/>
    <w:rPr>
      <w:sz w:val="24"/>
      <w:szCs w:val="24"/>
    </w:rPr>
  </w:style>
  <w:style w:type="paragraph" w:styleId="Nadpis1">
    <w:name w:val="heading 1"/>
    <w:basedOn w:val="Normln"/>
    <w:next w:val="Normln"/>
    <w:qFormat/>
    <w:rsid w:val="00A65E36"/>
    <w:pPr>
      <w:keepNext/>
      <w:jc w:val="both"/>
      <w:outlineLvl w:val="0"/>
    </w:pPr>
    <w:rPr>
      <w:rFonts w:ascii="Arial" w:hAnsi="Arial" w:cs="Arial"/>
      <w:noProof/>
      <w:sz w:val="2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semiHidden/>
    <w:rsid w:val="00A65E36"/>
    <w:rPr>
      <w:sz w:val="16"/>
      <w:szCs w:val="16"/>
    </w:rPr>
  </w:style>
  <w:style w:type="paragraph" w:styleId="Textkomente">
    <w:name w:val="annotation text"/>
    <w:basedOn w:val="Normln"/>
    <w:semiHidden/>
    <w:rsid w:val="00A65E3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65E36"/>
    <w:rPr>
      <w:b/>
      <w:bCs/>
    </w:rPr>
  </w:style>
  <w:style w:type="paragraph" w:styleId="Textbubliny">
    <w:name w:val="Balloon Text"/>
    <w:basedOn w:val="Normln"/>
    <w:semiHidden/>
    <w:rsid w:val="00A65E36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semiHidden/>
    <w:rsid w:val="00A65E36"/>
    <w:pPr>
      <w:jc w:val="both"/>
    </w:pPr>
    <w:rPr>
      <w:rFonts w:ascii="Arial" w:hAnsi="Arial" w:cs="Arial"/>
      <w:noProof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65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946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životní situace</vt:lpstr>
    </vt:vector>
  </TitlesOfParts>
  <Company>HP</Company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životní situace</dc:title>
  <dc:subject/>
  <dc:creator>Magistrát města Karlovy Vary</dc:creator>
  <cp:keywords/>
  <cp:lastModifiedBy>SaraRa</cp:lastModifiedBy>
  <cp:revision>5</cp:revision>
  <cp:lastPrinted>2014-03-12T15:48:00Z</cp:lastPrinted>
  <dcterms:created xsi:type="dcterms:W3CDTF">2014-03-14T07:23:00Z</dcterms:created>
  <dcterms:modified xsi:type="dcterms:W3CDTF">2017-04-03T12:06:00Z</dcterms:modified>
</cp:coreProperties>
</file>