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38" w:rsidRPr="001627DD" w:rsidRDefault="00FD0338" w:rsidP="00FD0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color w:val="323232"/>
          <w:lang w:eastAsia="cs-CZ"/>
        </w:rPr>
        <w:t>308</w:t>
      </w:r>
    </w:p>
    <w:p w:rsidR="00FD0338" w:rsidRPr="001627DD" w:rsidRDefault="00FD0338" w:rsidP="00FD0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NAŘÍZENÍ VLÁDY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ze dne 26. října 2015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color w:val="323232"/>
          <w:highlight w:val="yellow"/>
          <w:lang w:eastAsia="cs-CZ"/>
        </w:rPr>
        <w:t>o vymezení pojmů běžná údržba a drobné opravy související s užíváním bytu</w:t>
      </w:r>
    </w:p>
    <w:p w:rsidR="00FD0338" w:rsidRPr="001627DD" w:rsidRDefault="00FD0338" w:rsidP="00FD033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 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Vláda nařizuje k provedení zákona </w:t>
      </w:r>
      <w:hyperlink r:id="rId4" w:history="1">
        <w:r w:rsidRPr="001627DD">
          <w:rPr>
            <w:rFonts w:ascii="Times New Roman" w:eastAsia="Times New Roman" w:hAnsi="Times New Roman" w:cs="Times New Roman"/>
            <w:color w:val="0069B0"/>
            <w:lang w:eastAsia="cs-CZ"/>
          </w:rPr>
          <w:t>č. 89/2012 Sb.</w:t>
        </w:r>
      </w:hyperlink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, občanský zákoník: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§1</w:t>
      </w:r>
    </w:p>
    <w:p w:rsidR="00FD0338" w:rsidRPr="001627DD" w:rsidRDefault="00FD0338" w:rsidP="00FD033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Úvodní ustanovení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Toto nařízení vymezuje pojmy běžná údržba bytu a drobné opravy související s užíváním bytu.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§2</w:t>
      </w:r>
    </w:p>
    <w:p w:rsidR="00FD0338" w:rsidRPr="001627DD" w:rsidRDefault="00FD0338" w:rsidP="00FD033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Běžná údržba bytu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color w:val="323232"/>
          <w:lang w:eastAsia="cs-CZ"/>
        </w:rPr>
        <w:t>Běžnou údržbou bytu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 se rozumí </w:t>
      </w:r>
      <w:r w:rsidRPr="001627DD">
        <w:rPr>
          <w:rFonts w:ascii="Times New Roman" w:eastAsia="Times New Roman" w:hAnsi="Times New Roman" w:cs="Times New Roman"/>
          <w:b/>
          <w:color w:val="323232"/>
          <w:lang w:eastAsia="cs-CZ"/>
        </w:rPr>
        <w:t>udržování a čištění bytu včetně zařízení a vybavení bytu</w:t>
      </w:r>
      <w:r>
        <w:rPr>
          <w:rFonts w:ascii="Times New Roman" w:eastAsia="Times New Roman" w:hAnsi="Times New Roman" w:cs="Times New Roman"/>
          <w:color w:val="323232"/>
          <w:lang w:eastAsia="cs-CZ"/>
        </w:rPr>
        <w:t>, které se 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provádí obvykle při užívání bytu. Jde zejména o </w:t>
      </w:r>
      <w:r w:rsidRPr="001627DD"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>malování, opravu omítek, tapetování a čištění podlah včetně podlahových krytin, obkladů stěn a čištění zanesených odpadů až ke svislým rozvodům</w:t>
      </w:r>
      <w:r w:rsidRPr="001627DD">
        <w:rPr>
          <w:rFonts w:ascii="Times New Roman" w:eastAsia="Times New Roman" w:hAnsi="Times New Roman" w:cs="Times New Roman"/>
          <w:color w:val="323232"/>
          <w:highlight w:val="yellow"/>
          <w:lang w:eastAsia="cs-CZ"/>
        </w:rPr>
        <w:t>.</w:t>
      </w:r>
      <w:r>
        <w:rPr>
          <w:rFonts w:ascii="Times New Roman" w:eastAsia="Times New Roman" w:hAnsi="Times New Roman" w:cs="Times New Roman"/>
          <w:color w:val="323232"/>
          <w:lang w:eastAsia="cs-CZ"/>
        </w:rPr>
        <w:t xml:space="preserve"> Dále se 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běžnou údržbou rozumí </w:t>
      </w:r>
      <w:r w:rsidRPr="001627DD"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>udržování zařízení bytu ve funkčním st</w:t>
      </w:r>
      <w:r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>avu, pravidelné prohlídky a </w:t>
      </w:r>
      <w:r w:rsidRPr="001627DD"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 xml:space="preserve">čištění předmětů uvedených v </w:t>
      </w:r>
      <w:hyperlink r:id="rId5" w:anchor="paragraphsGroup529650" w:history="1">
        <w:r w:rsidRPr="001627DD">
          <w:rPr>
            <w:rFonts w:ascii="Times New Roman" w:eastAsia="Times New Roman" w:hAnsi="Times New Roman" w:cs="Times New Roman"/>
            <w:b/>
            <w:i/>
            <w:color w:val="0069B0"/>
            <w:highlight w:val="yellow"/>
            <w:lang w:eastAsia="cs-CZ"/>
          </w:rPr>
          <w:t>§4</w:t>
        </w:r>
      </w:hyperlink>
      <w:r w:rsidRPr="001627DD"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 xml:space="preserve"> písm. g), kontrola funk</w:t>
      </w:r>
      <w:r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>čnosti termostatických hlavic s </w:t>
      </w:r>
      <w:r w:rsidRPr="001627DD">
        <w:rPr>
          <w:rFonts w:ascii="Times New Roman" w:eastAsia="Times New Roman" w:hAnsi="Times New Roman" w:cs="Times New Roman"/>
          <w:b/>
          <w:i/>
          <w:color w:val="323232"/>
          <w:highlight w:val="yellow"/>
          <w:lang w:eastAsia="cs-CZ"/>
        </w:rPr>
        <w:t>elektronickým řízením, kontrola funkčnosti hlásiče kouře včetně výměny zdroje, kontrola a údržba vodovodních baterií s elektronickým řízením.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§3</w:t>
      </w:r>
    </w:p>
    <w:p w:rsidR="00FD0338" w:rsidRPr="001627DD" w:rsidRDefault="00FD0338" w:rsidP="00FD033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Drobné opravy bytu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Za drobné opravy se považují opravy bytu a jeho vnitřního vybavení, pokud je toto vybavení součástí bytu a je ve vlastnictví pronajímatele, a to podle věcného vymezení nebo podle výše nákladů.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§4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Drobné opravy podle věcného vymezení Podle věcného vymezení se za drobné opravy považují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a) opravy jednotlivých vrchních částí podlah, opravy podlahových krytin a výměny prahů a lišt,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b) opravy jednotlivých částí dveří a oken a jejich součástí, kování a klik, výměny zámků včetně elektronického otevírání vstupních dveří bytu a opravy kování, klik, rolet a žaluzií u oken zasahujících do vnitřního prostoru bytu,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c) 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</w:t>
      </w:r>
      <w:r>
        <w:rPr>
          <w:rFonts w:ascii="Times New Roman" w:eastAsia="Times New Roman" w:hAnsi="Times New Roman" w:cs="Times New Roman"/>
          <w:color w:val="323232"/>
          <w:lang w:eastAsia="cs-CZ"/>
        </w:rPr>
        <w:t>pínačů ventilace, klimatizace a 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centrálního vysavače, opravy elektronických systémů zabezpečení a automatických hlásičů pohybu,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d) výměny uzavíracích ventilů u rozvodu plynu s výjimkou hlavního uzávěru pro byt,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e) opravy a výměny uzavíracích armatur na rozvodech vody s výjimkou hlavního uzávěru pro byt, výměny sifonů a lapačů tuku,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f) 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lastRenderedPageBreak/>
        <w:t>g) opravy vodovodníc</w:t>
      </w:r>
      <w:bookmarkStart w:id="0" w:name="_GoBack"/>
      <w:bookmarkEnd w:id="0"/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h) 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</w:t>
      </w:r>
    </w:p>
    <w:p w:rsidR="00FD0338" w:rsidRPr="001627DD" w:rsidRDefault="00FD0338" w:rsidP="00FD0338">
      <w:pPr>
        <w:shd w:val="clear" w:color="auto" w:fill="FFFFFF"/>
        <w:spacing w:after="225" w:line="240" w:lineRule="auto"/>
        <w:ind w:left="525" w:hanging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i) výměny drobných součástí předmětů uvedených v písmenech g) a h).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§5</w:t>
      </w:r>
    </w:p>
    <w:p w:rsidR="00FD0338" w:rsidRPr="001627DD" w:rsidRDefault="00FD0338" w:rsidP="00FD033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Drobné opravy podle výše nákladů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Podle výše nákladů se za drobné opravy považují další opravy bytu a jeho vybavení a výměny jednotlivých předmětů nebo jejich součástí, které nejsou uvedeny v </w:t>
      </w:r>
      <w:hyperlink r:id="rId6" w:anchor="paragraphsGroup529650" w:history="1">
        <w:r w:rsidRPr="001627DD">
          <w:rPr>
            <w:rFonts w:ascii="Times New Roman" w:eastAsia="Times New Roman" w:hAnsi="Times New Roman" w:cs="Times New Roman"/>
            <w:color w:val="0069B0"/>
            <w:lang w:eastAsia="cs-CZ"/>
          </w:rPr>
          <w:t>§4</w:t>
        </w:r>
      </w:hyperlink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, jestliže náklad na jednu opravu nepřesáhne částku </w:t>
      </w:r>
      <w:r w:rsidRPr="001627DD">
        <w:rPr>
          <w:rFonts w:ascii="Times New Roman" w:eastAsia="Times New Roman" w:hAnsi="Times New Roman" w:cs="Times New Roman"/>
          <w:b/>
          <w:color w:val="323232"/>
          <w:highlight w:val="yellow"/>
          <w:lang w:eastAsia="cs-CZ"/>
        </w:rPr>
        <w:t>1 000 Kč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. Provádí-li se na téže věci několik oprav, které spolu souvisejí a časově na sebe navazují, je rozhodující součet nákladů na související opravy. Náklady na dopravu a jiné náklady spojené s opravou se do nákladů na tuto opravu nezapočítávají a hradí je nájemce. 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§6</w:t>
      </w:r>
    </w:p>
    <w:p w:rsidR="00FD0338" w:rsidRPr="001627DD" w:rsidRDefault="00FD0338" w:rsidP="00FD033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Roční limit nákladů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(1) Přesáhne-li součet nákladů za drobné opravy uvedené v </w:t>
      </w:r>
      <w:hyperlink r:id="rId7" w:anchor="paragraphsGroup529650" w:history="1">
        <w:r w:rsidRPr="001627DD">
          <w:rPr>
            <w:rFonts w:ascii="Times New Roman" w:eastAsia="Times New Roman" w:hAnsi="Times New Roman" w:cs="Times New Roman"/>
            <w:color w:val="0069B0"/>
            <w:lang w:eastAsia="cs-CZ"/>
          </w:rPr>
          <w:t>§4</w:t>
        </w:r>
      </w:hyperlink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 a </w:t>
      </w:r>
      <w:hyperlink r:id="rId8" w:anchor="paragraphsGroup529651" w:history="1">
        <w:r w:rsidRPr="001627DD">
          <w:rPr>
            <w:rFonts w:ascii="Times New Roman" w:eastAsia="Times New Roman" w:hAnsi="Times New Roman" w:cs="Times New Roman"/>
            <w:color w:val="0069B0"/>
            <w:lang w:eastAsia="cs-CZ"/>
          </w:rPr>
          <w:t>5</w:t>
        </w:r>
      </w:hyperlink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 xml:space="preserve"> v kalendářním roce částku rovnající se </w:t>
      </w:r>
      <w:r w:rsidRPr="001627DD">
        <w:rPr>
          <w:rFonts w:ascii="Times New Roman" w:eastAsia="Times New Roman" w:hAnsi="Times New Roman" w:cs="Times New Roman"/>
          <w:b/>
          <w:color w:val="323232"/>
          <w:highlight w:val="yellow"/>
          <w:lang w:eastAsia="cs-CZ"/>
        </w:rPr>
        <w:t>100 Kč/m</w:t>
      </w:r>
      <w:r w:rsidRPr="001627DD">
        <w:rPr>
          <w:rFonts w:ascii="Times New Roman" w:eastAsia="Times New Roman" w:hAnsi="Times New Roman" w:cs="Times New Roman"/>
          <w:b/>
          <w:color w:val="323232"/>
          <w:highlight w:val="yellow"/>
          <w:vertAlign w:val="superscript"/>
          <w:lang w:eastAsia="cs-CZ"/>
        </w:rPr>
        <w:t>2</w:t>
      </w:r>
      <w:r w:rsidRPr="001627DD">
        <w:rPr>
          <w:rFonts w:ascii="Times New Roman" w:eastAsia="Times New Roman" w:hAnsi="Times New Roman" w:cs="Times New Roman"/>
          <w:b/>
          <w:color w:val="323232"/>
          <w:highlight w:val="yellow"/>
          <w:lang w:eastAsia="cs-CZ"/>
        </w:rPr>
        <w:t> podlahové plochy bytu</w:t>
      </w: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, další opravy v daném kalendářním roce se nepovažují za drobné opravy.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(2) Podlahovou plochou bytu se pro účely tohoto nařízení rozumí součet podlahových ploch bytu a všech prostorů, které jsou s bytem užívány, a to i mimo byt, pokud jsou užívány výhradně nájemcem bytu; podlahová plocha sklepů, které nejsou místnostmi, a podlahová plocha balkonů, lodžií a teras se započítává pouze jednou polovinou.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§7</w:t>
      </w:r>
    </w:p>
    <w:p w:rsidR="00FD0338" w:rsidRPr="001627DD" w:rsidRDefault="00FD0338" w:rsidP="00FD033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  <w:r w:rsidRPr="001627DD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Účinnost</w:t>
      </w:r>
    </w:p>
    <w:p w:rsidR="00FD0338" w:rsidRPr="001627DD" w:rsidRDefault="00FD0338" w:rsidP="00FD033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Toto nařízení nabývá účinnosti dnem 1. ledna 2016.</w:t>
      </w:r>
    </w:p>
    <w:p w:rsidR="00FD0338" w:rsidRPr="001627DD" w:rsidRDefault="00FD0338" w:rsidP="00FD033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 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Předseda vlády: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Mgr. Sobotka v. r.</w:t>
      </w:r>
    </w:p>
    <w:p w:rsidR="00FD0338" w:rsidRPr="001627DD" w:rsidRDefault="00FD0338" w:rsidP="00FD033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 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Ministryně pro místní rozvoj:</w:t>
      </w:r>
    </w:p>
    <w:p w:rsidR="00FD0338" w:rsidRPr="001627DD" w:rsidRDefault="00FD0338" w:rsidP="00FD03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23232"/>
          <w:lang w:eastAsia="cs-CZ"/>
        </w:rPr>
      </w:pPr>
      <w:r w:rsidRPr="001627DD">
        <w:rPr>
          <w:rFonts w:ascii="Times New Roman" w:eastAsia="Times New Roman" w:hAnsi="Times New Roman" w:cs="Times New Roman"/>
          <w:color w:val="323232"/>
          <w:lang w:eastAsia="cs-CZ"/>
        </w:rPr>
        <w:t>Ing. Šlechtová v. r.</w:t>
      </w:r>
    </w:p>
    <w:p w:rsidR="00746FD5" w:rsidRDefault="00746FD5"/>
    <w:sectPr w:rsidR="0074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38"/>
    <w:rsid w:val="00746FD5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086D7-446C-4C09-BCED-C7F0CB41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3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yepis.cz/clanek/3597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vyepis.cz/clanek/3597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yepis.cz/clanek/359786" TargetMode="External"/><Relationship Id="rId5" Type="http://schemas.openxmlformats.org/officeDocument/2006/relationships/hyperlink" Target="https://www.novyepis.cz/clanek/3597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ovyepis.cz/clanek/537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</dc:creator>
  <cp:keywords/>
  <dc:description/>
  <cp:lastModifiedBy>SaraRa</cp:lastModifiedBy>
  <cp:revision>1</cp:revision>
  <dcterms:created xsi:type="dcterms:W3CDTF">2019-04-02T05:47:00Z</dcterms:created>
  <dcterms:modified xsi:type="dcterms:W3CDTF">2019-04-02T05:48:00Z</dcterms:modified>
</cp:coreProperties>
</file>